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4196" w14:textId="77777777" w:rsidR="00665D0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07FA02DE" w14:textId="7B8F2A23" w:rsidR="00665D0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PRORAČUNA OPĆINE </w:t>
      </w:r>
      <w:r w:rsidR="006E6777">
        <w:rPr>
          <w:rFonts w:ascii="Times New Roman" w:hAnsi="Times New Roman" w:cs="Times New Roman"/>
          <w:b/>
          <w:bCs/>
          <w:sz w:val="24"/>
          <w:szCs w:val="24"/>
        </w:rPr>
        <w:t>SV. LOVREČ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6E677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GODINU I</w:t>
      </w:r>
    </w:p>
    <w:p w14:paraId="1D4CBD5E" w14:textId="7ED694EC" w:rsidR="00665D0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PROJEKCIJE ZA 202</w:t>
      </w:r>
      <w:r w:rsidR="006E677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I 202</w:t>
      </w:r>
      <w:r w:rsidR="006E677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19B0139A" w14:textId="77777777" w:rsidR="00665D04" w:rsidRDefault="00665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CB4A5" w14:textId="77777777" w:rsidR="00665D04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</w:t>
      </w:r>
    </w:p>
    <w:p w14:paraId="1DDACC2D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79098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42. Zakona o proračunu („Narodne novine“, broj 144/21) predstavničko tijelo jedinice lokalne i područne (regionalne) samouprave obvezno je na prijedlog izvršnog tijela donijeti do kraja tekuće godine proračun za iduću proračunsku godinu i projekciju proračuna za sljedeće dvije proračunske godine. Uz proračun za narednu godinu donosi se i Odluka o izvršavanju proračuna.</w:t>
      </w:r>
    </w:p>
    <w:p w14:paraId="01D3048B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35019" w14:textId="642DC5CF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sastavljanju prijedloga proračuna obvezno je pridržavanje zakonom propisane metodologije koja propisuje sadržaj proračuna, programsko planiranje i proračunske klasifikacije.</w:t>
      </w:r>
      <w:r w:rsidR="00845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Zakon propisuje donošenje proračuna po ekonomskoj klasifikaciji na razini skupine (druga razina </w:t>
      </w:r>
      <w:r w:rsidR="00845D16">
        <w:rPr>
          <w:rFonts w:ascii="Times New Roman" w:hAnsi="Times New Roman" w:cs="Times New Roman"/>
          <w:sz w:val="24"/>
          <w:szCs w:val="24"/>
        </w:rPr>
        <w:t>ekonomske klasifikacije</w:t>
      </w:r>
      <w:r>
        <w:rPr>
          <w:rFonts w:ascii="Times New Roman" w:hAnsi="Times New Roman" w:cs="Times New Roman"/>
          <w:sz w:val="24"/>
          <w:szCs w:val="24"/>
        </w:rPr>
        <w:t>), te donošenje projekcije na razini skupine</w:t>
      </w:r>
      <w:r w:rsidR="00845D16">
        <w:rPr>
          <w:rFonts w:ascii="Times New Roman" w:hAnsi="Times New Roman" w:cs="Times New Roman"/>
          <w:sz w:val="24"/>
          <w:szCs w:val="24"/>
        </w:rPr>
        <w:t>.</w:t>
      </w:r>
    </w:p>
    <w:p w14:paraId="56C49E81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1A962" w14:textId="0C0219FE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proračunskim klasifikacijama („Narodne novine“, broj 26/10, 120/13 i 1/20) propisuje vrste, sadržaj i primjenu proračunskih klasifikacija koje su obavezne za proračun, a primjenjuju se u procesu planiranja za razdoblje 202</w:t>
      </w:r>
      <w:r w:rsidR="006E67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6E67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godine. Pravilnikom je definiran način kojim se iskazuju i sustavno prate prihodi i primici, te rashodi i izdaci po nositelju, cilju, namjeni, vrsti, lokaciji i izvoru financiranja. Također je propisana struktura brojčanih oznaka i naziva svake klasifikacije.</w:t>
      </w:r>
    </w:p>
    <w:p w14:paraId="6ACBEB5E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15C07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Programska klasifikacija uspostavlja se definiranjem pojedinih programa, projekata i aktivnosti</w:t>
      </w:r>
    </w:p>
    <w:p w14:paraId="31043B28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sve upravne odjele i njihove proračunske korisnike. Na taj način se prikazuju svi rashodi pojedinih projekata i aktivnosti kojima se ostvaruju ciljevi pojedinog programa, tako da se i u proračunu koji se donosi na drugoj razini ekonomske klasifikacije omogućuje uvid u sve aktivnosti i projekte.</w:t>
      </w:r>
    </w:p>
    <w:p w14:paraId="0A5E335E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55BB6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28. Zakona o proračunu, proračun se sastoji od općeg dijela, posebnog dijela i obrazloženja. Opći dio proračuna sastoji se od sažetka Računa prihoda i rashoda, sažetka Računa financiranja, Prenesenog viška / manjka, te Računa prihoda i rashoda, Računa financiranja i Prenesenog viška / manjka iskazanog po izvorima financiranja. U Računu prihoda i rashoda planirani prihodi i rashodi iskazani su po ekonomskoj klasifikaciji i izvorima financiranja i rashodi iskazani po funkcijskoj klasifikaciji. </w:t>
      </w:r>
    </w:p>
    <w:p w14:paraId="2BFC48A8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 iskazuje se u sljedećim tablicama:</w:t>
      </w:r>
    </w:p>
    <w:p w14:paraId="087C3252" w14:textId="77777777" w:rsidR="00665D04" w:rsidRDefault="000000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</w:t>
      </w:r>
    </w:p>
    <w:p w14:paraId="1FA32CBD" w14:textId="77777777" w:rsidR="00665D04" w:rsidRDefault="000000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rashoda</w:t>
      </w:r>
    </w:p>
    <w:p w14:paraId="51F803EF" w14:textId="77777777" w:rsidR="00665D04" w:rsidRDefault="000000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funkcijskoj klasifikaciji.</w:t>
      </w:r>
    </w:p>
    <w:p w14:paraId="32BBC749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Računu financiranja, planirani primici i izdaci iskazani su po ekonomskoj klasifikaciji i izvorima financiranja.</w:t>
      </w:r>
    </w:p>
    <w:p w14:paraId="68D8FEBA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/ manjak iz prethodne godine iskazan je po izvorima financiranja.</w:t>
      </w:r>
    </w:p>
    <w:p w14:paraId="67B12326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E5322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sadrži rashode i izdatke po organizacijskoj klasifikaciji, izvorima financiranja i ekonomskoj klasifikaciji, raspoređenih u programe koji se sastoje od aktivnosti i projekata.</w:t>
      </w:r>
    </w:p>
    <w:p w14:paraId="5A5CD7DA" w14:textId="77777777" w:rsidR="00845D16" w:rsidRDefault="0084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ACB79" w14:textId="7574355A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nastavku se obrazlaže Opći i Posebni dio Proračuna Općine </w:t>
      </w:r>
      <w:r w:rsidR="006E6777">
        <w:rPr>
          <w:rFonts w:ascii="Times New Roman" w:hAnsi="Times New Roman" w:cs="Times New Roman"/>
          <w:sz w:val="24"/>
          <w:szCs w:val="24"/>
        </w:rPr>
        <w:t>Sv. Lovreč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6E67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i projekcija za 202</w:t>
      </w:r>
      <w:r w:rsidR="006E67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6E67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 koji uključuje tablične prikaze.</w:t>
      </w:r>
    </w:p>
    <w:p w14:paraId="57F964BC" w14:textId="5F94C685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PRORAČUN OPĆINE </w:t>
      </w:r>
      <w:r w:rsidR="006E6777">
        <w:rPr>
          <w:rFonts w:ascii="Times New Roman" w:hAnsi="Times New Roman" w:cs="Times New Roman"/>
          <w:b/>
          <w:bCs/>
          <w:sz w:val="24"/>
          <w:szCs w:val="24"/>
        </w:rPr>
        <w:t>SV. LOVREČ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6E677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14:paraId="159A7437" w14:textId="77777777" w:rsidR="00665D04" w:rsidRDefault="00665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91561" w14:textId="77777777" w:rsidR="00665D04" w:rsidRDefault="00665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61B4F" w14:textId="77777777" w:rsidR="00665D04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OPĆI DIO</w:t>
      </w:r>
    </w:p>
    <w:p w14:paraId="43325CD9" w14:textId="77777777" w:rsidR="00665D04" w:rsidRDefault="00665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0BEAE" w14:textId="7A3112DD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9B">
        <w:rPr>
          <w:rFonts w:ascii="Times New Roman" w:hAnsi="Times New Roman" w:cs="Times New Roman"/>
          <w:sz w:val="24"/>
          <w:szCs w:val="24"/>
        </w:rPr>
        <w:t xml:space="preserve">Prijedlog Proračuna Općine </w:t>
      </w:r>
      <w:r w:rsidR="006E6777" w:rsidRPr="00D8449B">
        <w:rPr>
          <w:rFonts w:ascii="Times New Roman" w:hAnsi="Times New Roman" w:cs="Times New Roman"/>
          <w:sz w:val="24"/>
          <w:szCs w:val="24"/>
        </w:rPr>
        <w:t>Sv. Lovreč</w:t>
      </w:r>
      <w:r w:rsidRPr="00D8449B">
        <w:rPr>
          <w:rFonts w:ascii="Times New Roman" w:hAnsi="Times New Roman" w:cs="Times New Roman"/>
          <w:sz w:val="24"/>
          <w:szCs w:val="24"/>
        </w:rPr>
        <w:t xml:space="preserve"> za 202</w:t>
      </w:r>
      <w:r w:rsidR="006E6777" w:rsidRPr="00D8449B">
        <w:rPr>
          <w:rFonts w:ascii="Times New Roman" w:hAnsi="Times New Roman" w:cs="Times New Roman"/>
          <w:sz w:val="24"/>
          <w:szCs w:val="24"/>
        </w:rPr>
        <w:t>5</w:t>
      </w:r>
      <w:r w:rsidRPr="00D8449B">
        <w:rPr>
          <w:rFonts w:ascii="Times New Roman" w:hAnsi="Times New Roman" w:cs="Times New Roman"/>
          <w:sz w:val="24"/>
          <w:szCs w:val="24"/>
        </w:rPr>
        <w:t xml:space="preserve">. godinu utvrđen je u iznosu od </w:t>
      </w:r>
      <w:r w:rsidR="00D8449B">
        <w:rPr>
          <w:rFonts w:ascii="Times New Roman" w:hAnsi="Times New Roman" w:cs="Times New Roman"/>
          <w:sz w:val="24"/>
          <w:szCs w:val="24"/>
        </w:rPr>
        <w:t>2.420.320,00</w:t>
      </w:r>
      <w:r w:rsidRPr="00D8449B">
        <w:rPr>
          <w:rFonts w:ascii="Times New Roman" w:hAnsi="Times New Roman" w:cs="Times New Roman"/>
          <w:sz w:val="24"/>
          <w:szCs w:val="24"/>
        </w:rPr>
        <w:t xml:space="preserve"> €. Prihodi i primici planirani su u iznosu od </w:t>
      </w:r>
      <w:r w:rsidR="00D8449B">
        <w:rPr>
          <w:rFonts w:ascii="Times New Roman" w:hAnsi="Times New Roman" w:cs="Times New Roman"/>
          <w:sz w:val="24"/>
          <w:szCs w:val="24"/>
        </w:rPr>
        <w:t>2.312.</w:t>
      </w:r>
      <w:r w:rsidRPr="00D8449B">
        <w:rPr>
          <w:rFonts w:ascii="Times New Roman" w:hAnsi="Times New Roman" w:cs="Times New Roman"/>
          <w:sz w:val="24"/>
          <w:szCs w:val="24"/>
        </w:rPr>
        <w:t>0</w:t>
      </w:r>
      <w:r w:rsidR="00D8449B">
        <w:rPr>
          <w:rFonts w:ascii="Times New Roman" w:hAnsi="Times New Roman" w:cs="Times New Roman"/>
          <w:sz w:val="24"/>
          <w:szCs w:val="24"/>
        </w:rPr>
        <w:t>20,00</w:t>
      </w:r>
      <w:r w:rsidRPr="00D8449B">
        <w:rPr>
          <w:rFonts w:ascii="Times New Roman" w:hAnsi="Times New Roman" w:cs="Times New Roman"/>
          <w:sz w:val="24"/>
          <w:szCs w:val="24"/>
        </w:rPr>
        <w:t xml:space="preserve"> € a rashodi i izdaci u iznosu od </w:t>
      </w:r>
      <w:r w:rsidR="00D8449B">
        <w:rPr>
          <w:rFonts w:ascii="Times New Roman" w:hAnsi="Times New Roman" w:cs="Times New Roman"/>
          <w:sz w:val="24"/>
          <w:szCs w:val="24"/>
        </w:rPr>
        <w:t>2.420.320,00</w:t>
      </w:r>
      <w:r w:rsidRPr="00D8449B">
        <w:rPr>
          <w:rFonts w:ascii="Times New Roman" w:hAnsi="Times New Roman" w:cs="Times New Roman"/>
          <w:sz w:val="24"/>
          <w:szCs w:val="24"/>
        </w:rPr>
        <w:t xml:space="preserve"> €, dok razliku čini </w:t>
      </w:r>
      <w:r w:rsidR="006D4BC6" w:rsidRPr="00D8449B">
        <w:rPr>
          <w:rFonts w:ascii="Times New Roman" w:hAnsi="Times New Roman" w:cs="Times New Roman"/>
          <w:sz w:val="24"/>
          <w:szCs w:val="24"/>
        </w:rPr>
        <w:t xml:space="preserve">procijenjeni </w:t>
      </w:r>
      <w:r w:rsidRPr="00D8449B">
        <w:rPr>
          <w:rFonts w:ascii="Times New Roman" w:hAnsi="Times New Roman" w:cs="Times New Roman"/>
          <w:sz w:val="24"/>
          <w:szCs w:val="24"/>
        </w:rPr>
        <w:t xml:space="preserve">prijenos viška prihoda u iznosu od </w:t>
      </w:r>
      <w:r w:rsidR="00D8449B">
        <w:rPr>
          <w:rFonts w:ascii="Times New Roman" w:hAnsi="Times New Roman" w:cs="Times New Roman"/>
          <w:sz w:val="24"/>
          <w:szCs w:val="24"/>
        </w:rPr>
        <w:t>108.300,00</w:t>
      </w:r>
      <w:r w:rsidRPr="00D8449B">
        <w:rPr>
          <w:rFonts w:ascii="Times New Roman" w:hAnsi="Times New Roman" w:cs="Times New Roman"/>
          <w:sz w:val="24"/>
          <w:szCs w:val="24"/>
        </w:rPr>
        <w:t xml:space="preserve"> €. Projekcija proračuna za 202</w:t>
      </w:r>
      <w:r w:rsidR="00D8449B">
        <w:rPr>
          <w:rFonts w:ascii="Times New Roman" w:hAnsi="Times New Roman" w:cs="Times New Roman"/>
          <w:sz w:val="24"/>
          <w:szCs w:val="24"/>
        </w:rPr>
        <w:t>6</w:t>
      </w:r>
      <w:r w:rsidRPr="00D8449B">
        <w:rPr>
          <w:rFonts w:ascii="Times New Roman" w:hAnsi="Times New Roman" w:cs="Times New Roman"/>
          <w:sz w:val="24"/>
          <w:szCs w:val="24"/>
        </w:rPr>
        <w:t xml:space="preserve">. godinu planirana je u iznosu od </w:t>
      </w:r>
      <w:r w:rsidR="00D8449B">
        <w:rPr>
          <w:rFonts w:ascii="Times New Roman" w:hAnsi="Times New Roman" w:cs="Times New Roman"/>
          <w:sz w:val="24"/>
          <w:szCs w:val="24"/>
        </w:rPr>
        <w:t>2.538.220,00</w:t>
      </w:r>
      <w:r w:rsidRPr="00D8449B">
        <w:rPr>
          <w:rFonts w:ascii="Times New Roman" w:hAnsi="Times New Roman" w:cs="Times New Roman"/>
          <w:sz w:val="24"/>
          <w:szCs w:val="24"/>
        </w:rPr>
        <w:t xml:space="preserve"> € a za 202</w:t>
      </w:r>
      <w:r w:rsidR="00D8449B">
        <w:rPr>
          <w:rFonts w:ascii="Times New Roman" w:hAnsi="Times New Roman" w:cs="Times New Roman"/>
          <w:sz w:val="24"/>
          <w:szCs w:val="24"/>
        </w:rPr>
        <w:t>7</w:t>
      </w:r>
      <w:r w:rsidRPr="00D8449B">
        <w:rPr>
          <w:rFonts w:ascii="Times New Roman" w:hAnsi="Times New Roman" w:cs="Times New Roman"/>
          <w:sz w:val="24"/>
          <w:szCs w:val="24"/>
        </w:rPr>
        <w:t xml:space="preserve">. godinu </w:t>
      </w:r>
      <w:r w:rsidR="00D8449B">
        <w:rPr>
          <w:rFonts w:ascii="Times New Roman" w:hAnsi="Times New Roman" w:cs="Times New Roman"/>
          <w:sz w:val="24"/>
          <w:szCs w:val="24"/>
        </w:rPr>
        <w:t>2.085.420,00</w:t>
      </w:r>
      <w:r w:rsidRPr="00D8449B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49400ED9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67B91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F3041" w14:textId="77777777" w:rsidR="00665D04" w:rsidRDefault="00000000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p w14:paraId="4E2B31DC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4B5B0" w14:textId="77777777" w:rsidR="00665D04" w:rsidRDefault="00000000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I RASHODI PREMA EKONOMSKOJ KLASIFIKACIJI </w:t>
      </w:r>
    </w:p>
    <w:p w14:paraId="1D5B08F1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BD86" w14:textId="77777777" w:rsidR="00665D04" w:rsidRDefault="00000000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PRIHODI OD PRODAJE NEFINANCIJSKE IMOVINE</w:t>
      </w:r>
    </w:p>
    <w:p w14:paraId="74DD8B74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BCFCF" w14:textId="145C539D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 planirani temeljem Uputa Ministarstva financija za izradu proračuna JLP(R)S za razdoblje 202</w:t>
      </w:r>
      <w:r w:rsidR="00D844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D844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 te temeljem procjene ostvarenja prihoda proračuna u tekućoj proračunskoj godini i njihove projicirane realizacije u slijedećem trogodišnjem razdoblju.</w:t>
      </w:r>
    </w:p>
    <w:p w14:paraId="7BA01CF9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4887F" w14:textId="62653C30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Prijedlogom Proračuna planirani su prihodi u iznosu od </w:t>
      </w:r>
      <w:r w:rsidR="00D8449B">
        <w:rPr>
          <w:rFonts w:ascii="Times New Roman" w:hAnsi="Times New Roman" w:cs="Times New Roman"/>
          <w:sz w:val="24"/>
          <w:szCs w:val="24"/>
        </w:rPr>
        <w:t>2.312.020,00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A37E9E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CB372F">
        <w:rPr>
          <w:rFonts w:ascii="Times New Roman" w:hAnsi="Times New Roman" w:cs="Times New Roman"/>
          <w:sz w:val="24"/>
          <w:szCs w:val="24"/>
        </w:rPr>
        <w:t>2025</w:t>
      </w:r>
      <w:r w:rsidR="00A37E9E">
        <w:rPr>
          <w:rFonts w:ascii="Times New Roman" w:hAnsi="Times New Roman" w:cs="Times New Roman"/>
          <w:sz w:val="24"/>
          <w:szCs w:val="24"/>
        </w:rPr>
        <w:t xml:space="preserve">. godinu planirano povećanje za </w:t>
      </w:r>
      <w:r w:rsidR="00D8449B">
        <w:rPr>
          <w:rFonts w:ascii="Times New Roman" w:hAnsi="Times New Roman" w:cs="Times New Roman"/>
          <w:sz w:val="24"/>
          <w:szCs w:val="24"/>
        </w:rPr>
        <w:t>494.102,00</w:t>
      </w:r>
      <w:r w:rsidR="00A37E9E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. U projekcijama za 202</w:t>
      </w:r>
      <w:r w:rsidR="00D844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 planirani prihodi iznose 2.</w:t>
      </w:r>
      <w:r w:rsidR="00D8449B">
        <w:rPr>
          <w:rFonts w:ascii="Times New Roman" w:hAnsi="Times New Roman" w:cs="Times New Roman"/>
          <w:sz w:val="24"/>
          <w:szCs w:val="24"/>
        </w:rPr>
        <w:t>538.220,00</w:t>
      </w:r>
      <w:r>
        <w:rPr>
          <w:rFonts w:ascii="Times New Roman" w:hAnsi="Times New Roman" w:cs="Times New Roman"/>
          <w:sz w:val="24"/>
          <w:szCs w:val="24"/>
        </w:rPr>
        <w:t xml:space="preserve"> € a u 202</w:t>
      </w:r>
      <w:r w:rsidR="00D844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godini 2.</w:t>
      </w:r>
      <w:r w:rsidR="00D8449B">
        <w:rPr>
          <w:rFonts w:ascii="Times New Roman" w:hAnsi="Times New Roman" w:cs="Times New Roman"/>
          <w:sz w:val="24"/>
          <w:szCs w:val="24"/>
        </w:rPr>
        <w:t>085.420,00</w:t>
      </w:r>
      <w:r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1F755CB6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29CD4" w14:textId="7C18A43E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1. Prihodi prema ekonomskoj klasifikaciji</w:t>
      </w:r>
    </w:p>
    <w:tbl>
      <w:tblPr>
        <w:tblW w:w="9139" w:type="dxa"/>
        <w:tblLook w:val="04A0" w:firstRow="1" w:lastRow="0" w:firstColumn="1" w:lastColumn="0" w:noHBand="0" w:noVBand="1"/>
      </w:tblPr>
      <w:tblGrid>
        <w:gridCol w:w="3524"/>
        <w:gridCol w:w="1266"/>
        <w:gridCol w:w="1361"/>
        <w:gridCol w:w="1494"/>
        <w:gridCol w:w="1494"/>
      </w:tblGrid>
      <w:tr w:rsidR="00A37E9E" w:rsidRPr="00A37E9E" w14:paraId="7F043236" w14:textId="77777777" w:rsidTr="00BD066F">
        <w:trPr>
          <w:trHeight w:val="540"/>
          <w:tblHeader/>
        </w:trPr>
        <w:tc>
          <w:tcPr>
            <w:tcW w:w="3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B65CA" w14:textId="7D35B9EE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RAČUNSKI PLAN / VRSTA PRIHODA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088F1" w14:textId="30B4EED7" w:rsidR="00A37E9E" w:rsidRPr="00A37E9E" w:rsidRDefault="00D8449B" w:rsidP="00A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PLAN ZA </w:t>
            </w:r>
            <w:r w:rsidR="00CB3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274AB" w14:textId="7A06BB88" w:rsidR="00A37E9E" w:rsidRPr="00A37E9E" w:rsidRDefault="00A37E9E" w:rsidP="00A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PRORAČUN</w:t>
            </w: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D84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2AC45" w14:textId="3794DBE6" w:rsidR="00A37E9E" w:rsidRPr="00A37E9E" w:rsidRDefault="00A37E9E" w:rsidP="00A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D84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BF56" w14:textId="6F295CA3" w:rsidR="00A37E9E" w:rsidRPr="00A37E9E" w:rsidRDefault="00A37E9E" w:rsidP="00A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D84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A37E9E" w:rsidRPr="00A37E9E" w14:paraId="2AF9C495" w14:textId="77777777" w:rsidTr="00BD066F">
        <w:trPr>
          <w:trHeight w:val="255"/>
          <w:tblHeader/>
        </w:trPr>
        <w:tc>
          <w:tcPr>
            <w:tcW w:w="3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3814" w14:textId="77777777" w:rsidR="00A37E9E" w:rsidRPr="00A37E9E" w:rsidRDefault="00A37E9E" w:rsidP="00A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E5ED8" w14:textId="0462C341" w:rsidR="00A37E9E" w:rsidRPr="00A37E9E" w:rsidRDefault="00A37E9E" w:rsidP="00A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443C" w14:textId="64C3EB7F" w:rsidR="00A37E9E" w:rsidRPr="00A37E9E" w:rsidRDefault="00A37E9E" w:rsidP="00A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7B61" w14:textId="495FBE68" w:rsidR="00A37E9E" w:rsidRPr="00A37E9E" w:rsidRDefault="00A37E9E" w:rsidP="00A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F9F2" w14:textId="3826404D" w:rsidR="00A37E9E" w:rsidRPr="00A37E9E" w:rsidRDefault="00A37E9E" w:rsidP="00A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</w:tr>
      <w:tr w:rsidR="00A37E9E" w:rsidRPr="00A37E9E" w14:paraId="29EAF81A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F751C8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3A033836" w14:textId="278F7124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1.643.093,00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289039A6" w14:textId="48D258FF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2.119.720,00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40005A77" w14:textId="6F331257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2.363.920,00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689B53CE" w14:textId="7C942D24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1.926.120,00</w:t>
            </w:r>
          </w:p>
        </w:tc>
      </w:tr>
      <w:tr w:rsidR="00A37E9E" w:rsidRPr="00A37E9E" w14:paraId="66B11E87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3CD75C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147E415" w14:textId="10F1DDFC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1.054.350,00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E05C83A" w14:textId="3BA56E03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1.399.640,00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EDF47AA" w14:textId="506F7E96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1.434.040,00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6CD227E" w14:textId="60EDA104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1.282.240,00</w:t>
            </w:r>
          </w:p>
        </w:tc>
      </w:tr>
      <w:tr w:rsidR="00A37E9E" w:rsidRPr="00A37E9E" w14:paraId="43EBC822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0A51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97CB" w14:textId="7D43AF28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1.054.350,00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3BCA" w14:textId="1EC1199F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1.399.640,00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5D38" w14:textId="5E0A6B38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1.434.040,00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06F6" w14:textId="056E8C31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1.282.240,00</w:t>
            </w:r>
          </w:p>
        </w:tc>
      </w:tr>
      <w:tr w:rsidR="00A37E9E" w:rsidRPr="00A37E9E" w14:paraId="0BC33FAB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A61B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8EF6" w14:textId="44B16F4E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331.143,00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56CC" w14:textId="4A7C4A00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AB5E" w14:textId="76C9818A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3E7E" w14:textId="1F218535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375.080,00</w:t>
            </w:r>
          </w:p>
        </w:tc>
      </w:tr>
      <w:tr w:rsidR="00A37E9E" w:rsidRPr="00A37E9E" w14:paraId="661C7248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3911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0665" w14:textId="17BBDCA7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2B47" w14:textId="1C05260A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33C9" w14:textId="42C6D189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7C90" w14:textId="10897E71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</w:tr>
      <w:tr w:rsidR="00A37E9E" w:rsidRPr="00A37E9E" w14:paraId="0D0A4EAF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296B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3112" w14:textId="290ED4D1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205.200,00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63CB" w14:textId="7822FE75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3DF0" w14:textId="2D21A147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229.800,00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D5D6" w14:textId="5B291847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229.800,00</w:t>
            </w:r>
          </w:p>
        </w:tc>
      </w:tr>
      <w:tr w:rsidR="00A37E9E" w:rsidRPr="00A37E9E" w14:paraId="76A71A37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3E2E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E831" w14:textId="512211C1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55AC" w14:textId="4C96F31F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9853" w14:textId="5F705BC8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9745" w14:textId="515161CD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</w:tr>
      <w:tr w:rsidR="00A37E9E" w:rsidRPr="00A37E9E" w14:paraId="076906A9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C42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6DBB" w14:textId="7CD51AAA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7879" w14:textId="5AAE4EEC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961E" w14:textId="24156518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E6C5" w14:textId="7CAACAF8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A37E9E" w:rsidRPr="00A37E9E" w14:paraId="05BDB23B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3134DE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8E0B2F6" w14:textId="145C3515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174.825,00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F3E7C08" w14:textId="281C2D0B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192.300,00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B2911A0" w14:textId="569E27C2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174.300,00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1961558" w14:textId="2813AEB5" w:rsidR="00A37E9E" w:rsidRPr="00A37E9E" w:rsidRDefault="00D8449B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159.300,00</w:t>
            </w:r>
          </w:p>
        </w:tc>
      </w:tr>
      <w:tr w:rsidR="00A37E9E" w:rsidRPr="00A37E9E" w14:paraId="731140F9" w14:textId="77777777" w:rsidTr="00D8449B">
        <w:trPr>
          <w:trHeight w:val="26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2C11" w14:textId="77777777" w:rsidR="00A37E9E" w:rsidRPr="00A37E9E" w:rsidRDefault="00A37E9E" w:rsidP="00A3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7E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 Prihodi od prodaje neproizvedene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4DB7" w14:textId="5041818F" w:rsidR="00A37E9E" w:rsidRPr="00A37E9E" w:rsidRDefault="00042AD5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174.825,00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544C" w14:textId="3B4DD720" w:rsidR="00A37E9E" w:rsidRPr="00A37E9E" w:rsidRDefault="00042AD5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192.300,00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DA41" w14:textId="12905092" w:rsidR="00A37E9E" w:rsidRPr="00A37E9E" w:rsidRDefault="00042AD5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174.300,00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9FA5" w14:textId="09CDB17E" w:rsidR="00A37E9E" w:rsidRPr="00A37E9E" w:rsidRDefault="00042AD5" w:rsidP="00A3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159.300,00</w:t>
            </w:r>
          </w:p>
        </w:tc>
      </w:tr>
    </w:tbl>
    <w:p w14:paraId="4516EB9D" w14:textId="1B59CD4A" w:rsidR="00A37E9E" w:rsidRDefault="00A3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54EE5" w14:textId="77777777" w:rsidR="00A37E9E" w:rsidRDefault="00A3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6A17" w14:textId="77777777" w:rsidR="00042AD5" w:rsidRDefault="000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7F3E7" w14:textId="77777777" w:rsidR="008E5C4B" w:rsidRDefault="008E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4E66A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84A7F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E7589" w14:textId="59B47C7D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47">
        <w:rPr>
          <w:rFonts w:ascii="Times New Roman" w:hAnsi="Times New Roman" w:cs="Times New Roman"/>
          <w:sz w:val="24"/>
          <w:szCs w:val="24"/>
        </w:rPr>
        <w:lastRenderedPageBreak/>
        <w:t>Tablica 2. Prihodi prema izvorima financiranja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99" w:type="dxa"/>
        <w:tblLook w:val="04A0" w:firstRow="1" w:lastRow="0" w:firstColumn="1" w:lastColumn="0" w:noHBand="0" w:noVBand="1"/>
      </w:tblPr>
      <w:tblGrid>
        <w:gridCol w:w="3251"/>
        <w:gridCol w:w="1480"/>
        <w:gridCol w:w="1480"/>
        <w:gridCol w:w="1494"/>
        <w:gridCol w:w="1494"/>
      </w:tblGrid>
      <w:tr w:rsidR="00BD066F" w:rsidRPr="00BD066F" w14:paraId="1EB6B06D" w14:textId="77777777" w:rsidTr="001A0447">
        <w:trPr>
          <w:trHeight w:val="540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1C453" w14:textId="77777777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RAČUNSKI PLAN / VRSTA IZVORA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A98D8" w14:textId="0F315CB6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 xml:space="preserve">ZA </w:t>
            </w:r>
            <w:r w:rsidR="00CB3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2025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65CD3" w14:textId="23403F2C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PRORAČUN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042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3FA00" w14:textId="6D4DDE7B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042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8255" w14:textId="110299B3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042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BD066F" w:rsidRPr="00BD066F" w14:paraId="3DF3F2A4" w14:textId="77777777" w:rsidTr="001A0447">
        <w:trPr>
          <w:trHeight w:val="255"/>
          <w:tblHeader/>
        </w:trPr>
        <w:tc>
          <w:tcPr>
            <w:tcW w:w="3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B0C41" w14:textId="77777777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C07CD" w14:textId="27401739" w:rsidR="00BD066F" w:rsidRPr="00BD066F" w:rsidRDefault="001A0447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24E1" w14:textId="3FCA766A" w:rsidR="00BD066F" w:rsidRPr="00BD066F" w:rsidRDefault="001A0447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AAAC" w14:textId="4E6ADDD4" w:rsidR="00BD066F" w:rsidRPr="00BD066F" w:rsidRDefault="001A0447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67A6" w14:textId="726EFF2B" w:rsidR="00BD066F" w:rsidRPr="00BD066F" w:rsidRDefault="001A0447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</w:tr>
      <w:tr w:rsidR="00BD066F" w:rsidRPr="00BD066F" w14:paraId="14EEC82A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2B06547" w14:textId="77777777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738AB4A8" w14:textId="766B7E2A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1.817.918,00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2B417E34" w14:textId="07983468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2.312.020,00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0A935D65" w14:textId="518EEDB7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2.538.220,00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5272B0A0" w14:textId="2F299289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2.085.420,00</w:t>
            </w:r>
          </w:p>
        </w:tc>
      </w:tr>
      <w:tr w:rsidR="00BD066F" w:rsidRPr="00BD066F" w14:paraId="35ED4D5D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81A529" w14:textId="77777777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93692C8" w14:textId="5471993D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1.065.350,00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DA9C903" w14:textId="179A9118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1.401.640,00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591676F" w14:textId="2147C4FE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1.436.040,00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639E404" w14:textId="3F805269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1.284.240,00</w:t>
            </w:r>
          </w:p>
        </w:tc>
      </w:tr>
      <w:tr w:rsidR="00BD066F" w:rsidRPr="00BD066F" w14:paraId="751E9111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AF71" w14:textId="7A630FDA" w:rsidR="00BD066F" w:rsidRPr="00BD066F" w:rsidRDefault="00042AD5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  <w:r w:rsidR="00BD066F"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98A4" w14:textId="28D53EBD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1.065.350,00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948F" w14:textId="33905E78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1.401.640,00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08A4" w14:textId="132DC2FB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1.436.040,00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5B7E" w14:textId="705AFC41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1.284.240,00</w:t>
            </w:r>
          </w:p>
        </w:tc>
      </w:tr>
      <w:tr w:rsidR="00BD066F" w:rsidRPr="00BD066F" w14:paraId="43F69120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B01E08" w14:textId="77777777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6992526" w14:textId="5F3F443A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235.200,00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C32E45E" w14:textId="4D6234F8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6FC184" w14:textId="0457AC10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259.800,00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55FB6DB" w14:textId="1BC48526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259.800,00</w:t>
            </w:r>
          </w:p>
        </w:tc>
      </w:tr>
      <w:tr w:rsidR="00BD066F" w:rsidRPr="00BD066F" w14:paraId="6B58E385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60D9" w14:textId="0DDA1752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042A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042A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9251" w14:textId="722D5A8D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235.200,00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6DB" w14:textId="78AB8831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09B2" w14:textId="25E79908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259.800,00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DF36" w14:textId="49FAA29A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259.800,00</w:t>
            </w:r>
          </w:p>
        </w:tc>
      </w:tr>
      <w:tr w:rsidR="00BD066F" w:rsidRPr="00BD066F" w14:paraId="49E3EB1C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91BE7D" w14:textId="77777777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5. Pomoći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E39D0C0" w14:textId="18E7A21F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331.143,00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B0A471F" w14:textId="47DF6E82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381.080,00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4571CFF" w14:textId="35A8939F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661.080,00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D0026F9" w14:textId="0C9DD7C8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375.080,00</w:t>
            </w:r>
          </w:p>
        </w:tc>
      </w:tr>
      <w:tr w:rsidR="00BD066F" w:rsidRPr="00BD066F" w14:paraId="56838A52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C374" w14:textId="722EA64F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042A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042A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D39B" w14:textId="0B4E9E9C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325.143,00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E375" w14:textId="7C74F525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373.080,00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ECF9" w14:textId="6967DBCB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F4C2" w14:textId="01AB769B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367.080,00</w:t>
            </w:r>
          </w:p>
        </w:tc>
      </w:tr>
      <w:tr w:rsidR="00BD066F" w:rsidRPr="00BD066F" w14:paraId="38DDF934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F72" w14:textId="30AA5B17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042A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042A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izravnavanja za decentralizirane funkcije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44F7" w14:textId="6574C6CE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6A4E" w14:textId="216ABDCF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237B" w14:textId="009CDF4C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E3CD" w14:textId="7269F67F" w:rsidR="00BD066F" w:rsidRPr="00BD066F" w:rsidRDefault="00042AD5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BD066F" w:rsidRPr="00BD066F" w14:paraId="7578E411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552135" w14:textId="77777777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DEC4C55" w14:textId="5137F591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D391F17" w14:textId="76E7772C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36A7067" w14:textId="38D472A5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566D7FE" w14:textId="2E7F4D0A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D066F" w:rsidRPr="00BD066F" w14:paraId="0356EB9B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543E" w14:textId="12D3EB70" w:rsidR="00BD066F" w:rsidRPr="00BD066F" w:rsidRDefault="00042AD5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61 Donacije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B39F" w14:textId="518A0E75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8E8A" w14:textId="304B9BC1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0B51" w14:textId="451257FB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EB55" w14:textId="549216E2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</w:tr>
      <w:tr w:rsidR="00BD066F" w:rsidRPr="00BD066F" w14:paraId="37EE3D16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9956FA" w14:textId="4F259A78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0417CD2" w14:textId="70E3CE1A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174.825,00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B5E5F2E" w14:textId="3C4A382A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192.300,00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E7627D9" w14:textId="4129A6DF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174.300,00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5E39C40" w14:textId="268F286A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159.300,00</w:t>
            </w:r>
          </w:p>
        </w:tc>
      </w:tr>
      <w:tr w:rsidR="00BD066F" w:rsidRPr="00BD066F" w14:paraId="4F41AED8" w14:textId="77777777" w:rsidTr="00042AD5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35F4" w14:textId="585CF560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042A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Prihodi od prodaje ili zamjene nefinancijske imovine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5F69" w14:textId="73C53304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174.825,00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2A72" w14:textId="11020D53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192.300,00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0F15" w14:textId="602CB924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174.300,00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9742" w14:textId="14D19F81" w:rsidR="00BD066F" w:rsidRPr="00BD066F" w:rsidRDefault="008E742B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159.300,00</w:t>
            </w:r>
          </w:p>
        </w:tc>
      </w:tr>
    </w:tbl>
    <w:p w14:paraId="564C35A0" w14:textId="44B21198" w:rsidR="00BD066F" w:rsidRDefault="00BD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FDB52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OD POREZA</w:t>
      </w:r>
    </w:p>
    <w:p w14:paraId="29035CE2" w14:textId="28CC1EFB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21">
        <w:rPr>
          <w:rFonts w:ascii="Times New Roman" w:hAnsi="Times New Roman" w:cs="Times New Roman"/>
          <w:sz w:val="24"/>
          <w:szCs w:val="24"/>
        </w:rPr>
        <w:t xml:space="preserve">Prihodi od poreza za </w:t>
      </w:r>
      <w:r w:rsidR="00CB372F">
        <w:rPr>
          <w:rFonts w:ascii="Times New Roman" w:hAnsi="Times New Roman" w:cs="Times New Roman"/>
          <w:sz w:val="24"/>
          <w:szCs w:val="24"/>
        </w:rPr>
        <w:t>2025</w:t>
      </w:r>
      <w:r w:rsidRPr="00EC4A21">
        <w:rPr>
          <w:rFonts w:ascii="Times New Roman" w:hAnsi="Times New Roman" w:cs="Times New Roman"/>
          <w:sz w:val="24"/>
          <w:szCs w:val="24"/>
        </w:rPr>
        <w:t xml:space="preserve">. godinu planirani su na temelju projekcija makroekonomskih pokazatelja, te ostvarenih poreznih prihoda za prvih devet mjeseci </w:t>
      </w:r>
      <w:r w:rsidR="00CB372F">
        <w:rPr>
          <w:rFonts w:ascii="Times New Roman" w:hAnsi="Times New Roman" w:cs="Times New Roman"/>
          <w:sz w:val="24"/>
          <w:szCs w:val="24"/>
        </w:rPr>
        <w:t>2025</w:t>
      </w:r>
      <w:r w:rsidRPr="00EC4A21">
        <w:rPr>
          <w:rFonts w:ascii="Times New Roman" w:hAnsi="Times New Roman" w:cs="Times New Roman"/>
          <w:sz w:val="24"/>
          <w:szCs w:val="24"/>
        </w:rPr>
        <w:t>. godine. Unutar poreznih prihoda najznačajniji su porez na dohodak</w:t>
      </w:r>
      <w:r w:rsidR="008E742B">
        <w:rPr>
          <w:rFonts w:ascii="Times New Roman" w:hAnsi="Times New Roman" w:cs="Times New Roman"/>
          <w:sz w:val="24"/>
          <w:szCs w:val="24"/>
        </w:rPr>
        <w:t xml:space="preserve">, </w:t>
      </w:r>
      <w:r w:rsidRPr="00EC4A21">
        <w:rPr>
          <w:rFonts w:ascii="Times New Roman" w:hAnsi="Times New Roman" w:cs="Times New Roman"/>
          <w:sz w:val="24"/>
          <w:szCs w:val="24"/>
        </w:rPr>
        <w:t>porez na promet nekretnina</w:t>
      </w:r>
      <w:r w:rsidR="008E742B">
        <w:rPr>
          <w:rFonts w:ascii="Times New Roman" w:hAnsi="Times New Roman" w:cs="Times New Roman"/>
          <w:sz w:val="24"/>
          <w:szCs w:val="24"/>
        </w:rPr>
        <w:t>.</w:t>
      </w:r>
    </w:p>
    <w:p w14:paraId="78CA14C7" w14:textId="77777777" w:rsidR="008E742B" w:rsidRDefault="008E7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F03F3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</w:p>
    <w:p w14:paraId="2109690D" w14:textId="0E2E04DE" w:rsidR="0008481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Planirana sredstva u visini od </w:t>
      </w:r>
      <w:r w:rsidR="008E742B">
        <w:rPr>
          <w:rFonts w:ascii="Times New Roman" w:hAnsi="Times New Roman" w:cs="Times New Roman"/>
          <w:sz w:val="24"/>
          <w:szCs w:val="24"/>
        </w:rPr>
        <w:t>381.08</w:t>
      </w:r>
      <w:r>
        <w:rPr>
          <w:rFonts w:ascii="Times New Roman" w:hAnsi="Times New Roman" w:cs="Times New Roman"/>
          <w:sz w:val="24"/>
          <w:szCs w:val="24"/>
        </w:rPr>
        <w:t>0</w:t>
      </w:r>
      <w:r w:rsidR="008E742B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€ odnose se na</w:t>
      </w:r>
      <w:r w:rsidR="00084812">
        <w:rPr>
          <w:rFonts w:ascii="Times New Roman" w:hAnsi="Times New Roman" w:cs="Times New Roman"/>
          <w:sz w:val="24"/>
          <w:szCs w:val="24"/>
        </w:rPr>
        <w:t>:</w:t>
      </w:r>
    </w:p>
    <w:p w14:paraId="4A7CACFD" w14:textId="6528539B" w:rsidR="00855075" w:rsidRDefault="00855075" w:rsidP="00084812">
      <w:pPr>
        <w:pStyle w:val="Odlomakpopis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12">
        <w:rPr>
          <w:rFonts w:ascii="Times New Roman" w:hAnsi="Times New Roman" w:cs="Times New Roman"/>
          <w:sz w:val="24"/>
          <w:szCs w:val="24"/>
        </w:rPr>
        <w:t xml:space="preserve">pomoći iz državnog proračuna za funkcionalno spajanje </w:t>
      </w:r>
      <w:r w:rsidR="00084812">
        <w:rPr>
          <w:rFonts w:ascii="Times New Roman" w:hAnsi="Times New Roman" w:cs="Times New Roman"/>
          <w:sz w:val="24"/>
          <w:szCs w:val="24"/>
        </w:rPr>
        <w:t>dječjeg vrtića</w:t>
      </w:r>
      <w:r w:rsidR="00DC6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33963" w14:textId="72972125" w:rsidR="00DC6076" w:rsidRDefault="00DC6076" w:rsidP="00DC6076">
      <w:pPr>
        <w:pStyle w:val="Odlomakpopis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izravnanja za decentralizirane funkcije za financiranje Javne vatrogasne postrojbe – Centra za zaštitu od požara Poreč</w:t>
      </w:r>
    </w:p>
    <w:p w14:paraId="7ADDC37D" w14:textId="4195B7EB" w:rsidR="00DC6076" w:rsidRDefault="00DC6076" w:rsidP="00DC6076">
      <w:pPr>
        <w:pStyle w:val="Odlomakpopis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državnog proračuna </w:t>
      </w:r>
      <w:r w:rsidR="008E742B">
        <w:rPr>
          <w:rFonts w:ascii="Times New Roman" w:hAnsi="Times New Roman" w:cs="Times New Roman"/>
          <w:sz w:val="24"/>
          <w:szCs w:val="24"/>
        </w:rPr>
        <w:t>za uređenje starogradske jezgre, obnovu freski u Crkvi sv. Blaža</w:t>
      </w:r>
    </w:p>
    <w:p w14:paraId="0EE7C006" w14:textId="77777777" w:rsidR="00DC6076" w:rsidRDefault="00DC6076" w:rsidP="00DC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67C31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OD IMOVINE</w:t>
      </w:r>
    </w:p>
    <w:p w14:paraId="17372F42" w14:textId="76C2CCD9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Prihode od imovine čine prihodi od financijske i nefinancijske imovine a planirani su u iznosu od </w:t>
      </w:r>
      <w:r w:rsidR="008E742B">
        <w:rPr>
          <w:rFonts w:ascii="Times New Roman" w:hAnsi="Times New Roman" w:cs="Times New Roman"/>
          <w:sz w:val="24"/>
          <w:szCs w:val="24"/>
        </w:rPr>
        <w:t>31.000,</w:t>
      </w:r>
      <w:r>
        <w:rPr>
          <w:rFonts w:ascii="Times New Roman" w:hAnsi="Times New Roman" w:cs="Times New Roman"/>
          <w:sz w:val="24"/>
          <w:szCs w:val="24"/>
        </w:rPr>
        <w:t>00 €.</w:t>
      </w:r>
    </w:p>
    <w:p w14:paraId="3B1CA715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29BA2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OD UPRAVNIH I ADMINISTRATIVNIH PRISTOJBI, PRISTOJBI PO POSEBNIM PROPISIMA I NAKNADA</w:t>
      </w:r>
    </w:p>
    <w:p w14:paraId="775968DE" w14:textId="3245ED48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od upravnih i administrativnih pristojbi, pristojbi po posebnim propisima i naknada iznose </w:t>
      </w:r>
      <w:r w:rsidR="008E742B">
        <w:rPr>
          <w:rFonts w:ascii="Times New Roman" w:hAnsi="Times New Roman" w:cs="Times New Roman"/>
          <w:sz w:val="24"/>
          <w:szCs w:val="24"/>
        </w:rPr>
        <w:t>300.000,00</w:t>
      </w:r>
      <w:r>
        <w:rPr>
          <w:rFonts w:ascii="Times New Roman" w:hAnsi="Times New Roman" w:cs="Times New Roman"/>
          <w:sz w:val="24"/>
          <w:szCs w:val="24"/>
        </w:rPr>
        <w:t xml:space="preserve"> €. Najznačajniji prihodi su prihodi od komunalne naknade </w:t>
      </w:r>
      <w:r w:rsidR="008E742B">
        <w:rPr>
          <w:rFonts w:ascii="Times New Roman" w:hAnsi="Times New Roman" w:cs="Times New Roman"/>
          <w:sz w:val="24"/>
          <w:szCs w:val="24"/>
        </w:rPr>
        <w:t>i prihodi od komunalnog doprinosa.</w:t>
      </w:r>
    </w:p>
    <w:p w14:paraId="3C1916BE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A47DF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OD PRODAJE PROIZVODA I ROBA TE PRUŽENIH USLUGA I PRIHODI OD DONACIJA</w:t>
      </w:r>
    </w:p>
    <w:p w14:paraId="38F40F7A" w14:textId="1CEF0F53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roba te pruženih usluga i prihodi od donacija planirani su u visini od </w:t>
      </w:r>
      <w:r w:rsidR="008E742B">
        <w:rPr>
          <w:rFonts w:ascii="Times New Roman" w:hAnsi="Times New Roman" w:cs="Times New Roman"/>
          <w:sz w:val="24"/>
          <w:szCs w:val="24"/>
        </w:rPr>
        <w:t>7.000,000</w:t>
      </w:r>
      <w:r>
        <w:rPr>
          <w:rFonts w:ascii="Times New Roman" w:hAnsi="Times New Roman" w:cs="Times New Roman"/>
          <w:sz w:val="24"/>
          <w:szCs w:val="24"/>
        </w:rPr>
        <w:t xml:space="preserve"> € a odnose se na donacije pravnih i fizičkih osoba izvan općeg proračuna u svrhu </w:t>
      </w:r>
      <w:r w:rsidR="008E742B">
        <w:rPr>
          <w:rFonts w:ascii="Times New Roman" w:hAnsi="Times New Roman" w:cs="Times New Roman"/>
          <w:sz w:val="24"/>
          <w:szCs w:val="24"/>
        </w:rPr>
        <w:t>organizacije manifestacija iz područja kulture.</w:t>
      </w:r>
    </w:p>
    <w:p w14:paraId="06029085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EDF96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KAZNE, UPRAVNE MJERE I OSTALI PRIHODI</w:t>
      </w:r>
    </w:p>
    <w:p w14:paraId="578449D8" w14:textId="66C54615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od kazni, upravnih mjera i ostali prihodi planirani su u visini od</w:t>
      </w:r>
      <w:r w:rsidR="008E742B">
        <w:rPr>
          <w:rFonts w:ascii="Times New Roman" w:hAnsi="Times New Roman" w:cs="Times New Roman"/>
          <w:sz w:val="24"/>
          <w:szCs w:val="24"/>
        </w:rPr>
        <w:t xml:space="preserve"> 1.000</w:t>
      </w:r>
      <w:r>
        <w:rPr>
          <w:rFonts w:ascii="Times New Roman" w:hAnsi="Times New Roman" w:cs="Times New Roman"/>
          <w:sz w:val="24"/>
          <w:szCs w:val="24"/>
        </w:rPr>
        <w:t>,00 €</w:t>
      </w:r>
      <w:r w:rsidR="008E742B">
        <w:rPr>
          <w:rFonts w:ascii="Times New Roman" w:hAnsi="Times New Roman" w:cs="Times New Roman"/>
          <w:sz w:val="24"/>
          <w:szCs w:val="24"/>
        </w:rPr>
        <w:t>.</w:t>
      </w:r>
    </w:p>
    <w:p w14:paraId="0911C0D5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F6B4C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14:paraId="1563F3C4" w14:textId="2C953132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8E742B">
        <w:rPr>
          <w:rFonts w:ascii="Times New Roman" w:hAnsi="Times New Roman" w:cs="Times New Roman"/>
          <w:sz w:val="24"/>
          <w:szCs w:val="24"/>
        </w:rPr>
        <w:t>192.300,00</w:t>
      </w:r>
      <w:r>
        <w:rPr>
          <w:rFonts w:ascii="Times New Roman" w:hAnsi="Times New Roman" w:cs="Times New Roman"/>
          <w:sz w:val="24"/>
          <w:szCs w:val="24"/>
        </w:rPr>
        <w:t xml:space="preserve"> € i to kao prihodi od prodaje neproizvedene dugotrajne imovine. </w:t>
      </w:r>
    </w:p>
    <w:p w14:paraId="368B5FAD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22F8A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683BE" w14:textId="77777777" w:rsidR="00665D04" w:rsidRDefault="00000000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RASHODI ZA NABAVU NEFINANCIJSKE IMOVINE</w:t>
      </w:r>
    </w:p>
    <w:p w14:paraId="5F38FC38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0D546" w14:textId="5DFEF9B0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Prijedlogom Proračuna Općine </w:t>
      </w:r>
      <w:r w:rsidR="006E6777">
        <w:rPr>
          <w:rFonts w:ascii="Times New Roman" w:hAnsi="Times New Roman" w:cs="Times New Roman"/>
          <w:sz w:val="24"/>
          <w:szCs w:val="24"/>
        </w:rPr>
        <w:t>Sv. Lovreč</w:t>
      </w:r>
      <w:r>
        <w:rPr>
          <w:rFonts w:ascii="Times New Roman" w:hAnsi="Times New Roman" w:cs="Times New Roman"/>
          <w:sz w:val="24"/>
          <w:szCs w:val="24"/>
        </w:rPr>
        <w:t xml:space="preserve"> – Fontane planirani su rashodi u iznosu od 4.</w:t>
      </w:r>
      <w:r w:rsidR="001A0447">
        <w:rPr>
          <w:rFonts w:ascii="Times New Roman" w:hAnsi="Times New Roman" w:cs="Times New Roman"/>
          <w:sz w:val="24"/>
          <w:szCs w:val="24"/>
        </w:rPr>
        <w:t>721.370</w:t>
      </w:r>
      <w:r>
        <w:rPr>
          <w:rFonts w:ascii="Times New Roman" w:hAnsi="Times New Roman" w:cs="Times New Roman"/>
          <w:sz w:val="24"/>
          <w:szCs w:val="24"/>
        </w:rPr>
        <w:t xml:space="preserve">,00 € što je više za </w:t>
      </w:r>
      <w:r w:rsidR="001A0447">
        <w:rPr>
          <w:rFonts w:ascii="Times New Roman" w:hAnsi="Times New Roman" w:cs="Times New Roman"/>
          <w:sz w:val="24"/>
          <w:szCs w:val="24"/>
        </w:rPr>
        <w:t>8,8</w:t>
      </w:r>
      <w:r>
        <w:rPr>
          <w:rFonts w:ascii="Times New Roman" w:hAnsi="Times New Roman" w:cs="Times New Roman"/>
          <w:sz w:val="24"/>
          <w:szCs w:val="24"/>
        </w:rPr>
        <w:t>% u odnosu na planirane rashode Proračuna za 202</w:t>
      </w:r>
      <w:r w:rsidR="001A04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godinu. U projekcijama za 202</w:t>
      </w:r>
      <w:r w:rsidR="001A04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planirani rashodi iznose </w:t>
      </w:r>
      <w:r w:rsidR="001A0447">
        <w:rPr>
          <w:rFonts w:ascii="Times New Roman" w:hAnsi="Times New Roman" w:cs="Times New Roman"/>
          <w:sz w:val="24"/>
          <w:szCs w:val="24"/>
        </w:rPr>
        <w:t>3.103.240</w:t>
      </w:r>
      <w:r>
        <w:rPr>
          <w:rFonts w:ascii="Times New Roman" w:hAnsi="Times New Roman" w:cs="Times New Roman"/>
          <w:sz w:val="24"/>
          <w:szCs w:val="24"/>
        </w:rPr>
        <w:t>,00 € a u 202</w:t>
      </w:r>
      <w:r w:rsidR="001A04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1A0447">
        <w:rPr>
          <w:rFonts w:ascii="Times New Roman" w:hAnsi="Times New Roman" w:cs="Times New Roman"/>
          <w:sz w:val="24"/>
          <w:szCs w:val="24"/>
        </w:rPr>
        <w:t>3.144.050</w:t>
      </w:r>
      <w:r>
        <w:rPr>
          <w:rFonts w:ascii="Times New Roman" w:hAnsi="Times New Roman" w:cs="Times New Roman"/>
          <w:sz w:val="24"/>
          <w:szCs w:val="24"/>
        </w:rPr>
        <w:t>,00 €.</w:t>
      </w:r>
    </w:p>
    <w:p w14:paraId="7472AB9A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6F73" w14:textId="6B2731F5" w:rsidR="00BD066F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3. Rashodi prema ekonomskoj klasifikaciji</w:t>
      </w:r>
    </w:p>
    <w:tbl>
      <w:tblPr>
        <w:tblW w:w="9149" w:type="dxa"/>
        <w:tblLook w:val="04A0" w:firstRow="1" w:lastRow="0" w:firstColumn="1" w:lastColumn="0" w:noHBand="0" w:noVBand="1"/>
      </w:tblPr>
      <w:tblGrid>
        <w:gridCol w:w="3534"/>
        <w:gridCol w:w="1266"/>
        <w:gridCol w:w="1361"/>
        <w:gridCol w:w="1494"/>
        <w:gridCol w:w="1494"/>
      </w:tblGrid>
      <w:tr w:rsidR="00BD066F" w:rsidRPr="00BD066F" w14:paraId="3D1B008C" w14:textId="77777777" w:rsidTr="00BD066F">
        <w:trPr>
          <w:trHeight w:val="540"/>
          <w:tblHeader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E9051" w14:textId="230D57EA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RAČUNSKI PLAN / VRSTA RASHODA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2357C" w14:textId="1334E65C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 xml:space="preserve">ZA </w:t>
            </w:r>
            <w:r w:rsidR="00CB3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2025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A9D3C" w14:textId="672600A4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PRORAČUN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042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EA957" w14:textId="12DE7AD8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042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3E55" w14:textId="448ACD6B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042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BD066F" w:rsidRPr="00BD066F" w14:paraId="50005569" w14:textId="77777777" w:rsidTr="00BD066F">
        <w:trPr>
          <w:trHeight w:val="255"/>
          <w:tblHeader/>
        </w:trPr>
        <w:tc>
          <w:tcPr>
            <w:tcW w:w="3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C124" w14:textId="77777777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6BEF5" w14:textId="5DE93FD1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762C" w14:textId="7A4B7AB7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A6687" w14:textId="3C921890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1C23" w14:textId="66668B8D" w:rsidR="00BD066F" w:rsidRPr="00BD066F" w:rsidRDefault="00BD066F" w:rsidP="00B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</w:tr>
      <w:tr w:rsidR="00BD066F" w:rsidRPr="00BD066F" w14:paraId="28265F90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E5EF62D" w14:textId="77777777" w:rsidR="00BD066F" w:rsidRPr="00BD066F" w:rsidRDefault="00BD066F" w:rsidP="00BD0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18374958" w14:textId="3AB17E09" w:rsidR="00BD066F" w:rsidRPr="00BD066F" w:rsidRDefault="00972EC4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2.653.893,00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1C056C0B" w14:textId="58797DB1" w:rsidR="00BD066F" w:rsidRPr="00BD066F" w:rsidRDefault="00972EC4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2.418.820,00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170EA8E2" w14:textId="11D77598" w:rsidR="00BD066F" w:rsidRPr="00BD066F" w:rsidRDefault="00972EC4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2.536.720,00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28719323" w14:textId="3119C1C2" w:rsidR="00BD066F" w:rsidRPr="00BD066F" w:rsidRDefault="00972EC4" w:rsidP="00BD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2.083.920,00</w:t>
            </w:r>
          </w:p>
        </w:tc>
      </w:tr>
      <w:tr w:rsidR="008E742B" w:rsidRPr="00BD066F" w14:paraId="585007E3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2CD37A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C54E2CA" w14:textId="5E34886C" w:rsidR="008E742B" w:rsidRPr="008E742B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E7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1.079.270,00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F8D5911" w14:textId="20627858" w:rsidR="008E742B" w:rsidRPr="008E742B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E7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1.407.520,00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C9EBA6A" w14:textId="7CAF8B07" w:rsidR="008E742B" w:rsidRPr="008E742B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E7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1.352.920,00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0625B2A" w14:textId="75757B2F" w:rsidR="008E742B" w:rsidRPr="008E742B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E7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1.385.120,00</w:t>
            </w:r>
          </w:p>
        </w:tc>
      </w:tr>
      <w:tr w:rsidR="008E742B" w:rsidRPr="00BD066F" w14:paraId="34A9CFDD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8110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D7A0" w14:textId="715953DE" w:rsidR="008E742B" w:rsidRPr="008E742B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74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112.650,00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F568" w14:textId="0AF34E8F" w:rsidR="008E742B" w:rsidRPr="008E742B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74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8047" w14:textId="33196E6F" w:rsidR="008E742B" w:rsidRPr="008E742B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74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1A68" w14:textId="71AE71C9" w:rsidR="008E742B" w:rsidRPr="008E742B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74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185.000,00</w:t>
            </w:r>
          </w:p>
        </w:tc>
      </w:tr>
      <w:tr w:rsidR="008E742B" w:rsidRPr="00BD066F" w14:paraId="530F63C4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2115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9BA6" w14:textId="071335A1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668.170,00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1821" w14:textId="3F9FBC52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670.020,00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8853" w14:textId="5ABE4351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658.120,00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A5EE" w14:textId="3CBF1C87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675.120,00</w:t>
            </w:r>
          </w:p>
        </w:tc>
      </w:tr>
      <w:tr w:rsidR="008E742B" w:rsidRPr="00BD066F" w14:paraId="4E937FB7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AE9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5EA8" w14:textId="3066D7CC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3138" w14:textId="4FA69C1D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F12F" w14:textId="5A3A97C8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68A0" w14:textId="39DB1FFA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</w:tr>
      <w:tr w:rsidR="008E742B" w:rsidRPr="00BD066F" w14:paraId="05961502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7964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2AA5" w14:textId="25FCAFA5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116.700,00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C2C0" w14:textId="6871C137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314.300,00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0C2D" w14:textId="3B32B67C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344.300,00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FEAD" w14:textId="5CA395D8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354.300,00</w:t>
            </w:r>
          </w:p>
        </w:tc>
      </w:tr>
      <w:tr w:rsidR="008E742B" w:rsidRPr="00BD066F" w14:paraId="271F02C5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9F67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9554" w14:textId="23B1A558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64.870,00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7CBF" w14:textId="38080303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51.870,00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A54B" w14:textId="4A8E83C6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51.870,00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1C63" w14:textId="66F471D7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51.870,00</w:t>
            </w:r>
          </w:p>
        </w:tc>
      </w:tr>
      <w:tr w:rsidR="008E742B" w:rsidRPr="00BD066F" w14:paraId="78C4DED5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C42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6023" w14:textId="61F034B5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112.180,00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FBA1" w14:textId="0C6868CF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191.330,00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0BF4" w14:textId="1E4C641F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113.330,00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7FE1" w14:textId="68216A4A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113.330,00</w:t>
            </w:r>
          </w:p>
        </w:tc>
      </w:tr>
      <w:tr w:rsidR="008E742B" w:rsidRPr="00BD066F" w14:paraId="1C6945B8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A59A93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77E5E9C" w14:textId="02E9D69C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1.574.623,00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6007DE2" w14:textId="10B0B08D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1.011.300,00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BEA2090" w14:textId="6763F9F4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1.183.800,00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FF02FDE" w14:textId="7637B335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698.800,00</w:t>
            </w:r>
          </w:p>
        </w:tc>
      </w:tr>
      <w:tr w:rsidR="008E742B" w:rsidRPr="00BD066F" w14:paraId="1977D14E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72B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71CA" w14:textId="163055F5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2687" w14:textId="7F0B2F1D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E236" w14:textId="21C5991A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EAEF" w14:textId="58BC76F3" w:rsidR="008E742B" w:rsidRPr="00BD066F" w:rsidRDefault="008E742B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8E742B" w:rsidRPr="00BD066F" w14:paraId="52476CF3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6831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9E12" w14:textId="00E0EE82" w:rsidR="008E742B" w:rsidRPr="00BD066F" w:rsidRDefault="00972EC4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1.299.525,00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0F01" w14:textId="578BAE34" w:rsidR="008E742B" w:rsidRPr="00BD066F" w:rsidRDefault="00972EC4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411.300,00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5382" w14:textId="5B0AE8A9" w:rsidR="008E742B" w:rsidRPr="00BD066F" w:rsidRDefault="00972EC4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328.800,00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7A45" w14:textId="6F64AE4C" w:rsidR="008E742B" w:rsidRPr="00BD066F" w:rsidRDefault="00972EC4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198.800,00</w:t>
            </w:r>
          </w:p>
        </w:tc>
      </w:tr>
      <w:tr w:rsidR="008E742B" w:rsidRPr="00BD066F" w14:paraId="5E4297F7" w14:textId="77777777" w:rsidTr="00042AD5">
        <w:trPr>
          <w:trHeight w:val="2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95D9" w14:textId="77777777" w:rsidR="008E742B" w:rsidRPr="00BD066F" w:rsidRDefault="008E742B" w:rsidP="008E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3EB8" w14:textId="2ABB66E4" w:rsidR="008E742B" w:rsidRPr="00BD066F" w:rsidRDefault="00972EC4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245.098,00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06FE" w14:textId="1699BAE3" w:rsidR="008E742B" w:rsidRPr="00BD066F" w:rsidRDefault="00972EC4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F234" w14:textId="6DA4E0BF" w:rsidR="008E742B" w:rsidRPr="00BD066F" w:rsidRDefault="00972EC4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63A5" w14:textId="3FD4F2CD" w:rsidR="008E742B" w:rsidRPr="00BD066F" w:rsidRDefault="00972EC4" w:rsidP="008E7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470.000,00</w:t>
            </w:r>
          </w:p>
        </w:tc>
      </w:tr>
    </w:tbl>
    <w:p w14:paraId="5929A104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50B6B" w14:textId="77777777" w:rsidR="008E5C4B" w:rsidRDefault="008E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B40FD" w14:textId="3A83BE45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4. Rashodi prema izvorima financiranja </w:t>
      </w:r>
    </w:p>
    <w:tbl>
      <w:tblPr>
        <w:tblW w:w="9199" w:type="dxa"/>
        <w:tblLook w:val="04A0" w:firstRow="1" w:lastRow="0" w:firstColumn="1" w:lastColumn="0" w:noHBand="0" w:noVBand="1"/>
      </w:tblPr>
      <w:tblGrid>
        <w:gridCol w:w="3251"/>
        <w:gridCol w:w="1480"/>
        <w:gridCol w:w="1480"/>
        <w:gridCol w:w="1494"/>
        <w:gridCol w:w="1494"/>
      </w:tblGrid>
      <w:tr w:rsidR="00042AD5" w:rsidRPr="00BD066F" w14:paraId="606149B9" w14:textId="77777777" w:rsidTr="00FF0E1E">
        <w:trPr>
          <w:trHeight w:val="540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4A9B1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RAČUNSKI PLAN / VRSTA IZVORA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E9F86" w14:textId="1F5BE1EB" w:rsidR="00042AD5" w:rsidRPr="00BD066F" w:rsidRDefault="00042AD5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 xml:space="preserve">ZA </w:t>
            </w:r>
            <w:r w:rsidR="00CB3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2025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AC8AB" w14:textId="77777777" w:rsidR="00042AD5" w:rsidRPr="00BD066F" w:rsidRDefault="00042AD5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PRORAČUN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14507" w14:textId="77777777" w:rsidR="00042AD5" w:rsidRPr="00BD066F" w:rsidRDefault="00042AD5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EF98" w14:textId="77777777" w:rsidR="00042AD5" w:rsidRPr="00BD066F" w:rsidRDefault="00042AD5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042AD5" w:rsidRPr="00BD066F" w14:paraId="4CEBC034" w14:textId="77777777" w:rsidTr="00FF0E1E">
        <w:trPr>
          <w:trHeight w:val="255"/>
          <w:tblHeader/>
        </w:trPr>
        <w:tc>
          <w:tcPr>
            <w:tcW w:w="3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1E32" w14:textId="77777777" w:rsidR="00042AD5" w:rsidRPr="00BD066F" w:rsidRDefault="00042AD5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10B6C" w14:textId="77777777" w:rsidR="00042AD5" w:rsidRPr="00BD066F" w:rsidRDefault="00042AD5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3554" w14:textId="77777777" w:rsidR="00042AD5" w:rsidRPr="00BD066F" w:rsidRDefault="00042AD5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C489" w14:textId="77777777" w:rsidR="00042AD5" w:rsidRPr="00BD066F" w:rsidRDefault="00042AD5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0B4" w14:textId="77777777" w:rsidR="00042AD5" w:rsidRPr="00BD066F" w:rsidRDefault="00042AD5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</w:tr>
      <w:tr w:rsidR="00042AD5" w:rsidRPr="00BD066F" w14:paraId="5BF18FD2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B39682E" w14:textId="1B840670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UKUPNO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345E65A8" w14:textId="301902D0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2.653.893,00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246EB9AC" w14:textId="7A584AD5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2.418.820,00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46D5B494" w14:textId="52CE9D9A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2.536.720,00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0F7D7B58" w14:textId="7DCDF3B2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2.083.920,00</w:t>
            </w:r>
          </w:p>
        </w:tc>
      </w:tr>
      <w:tr w:rsidR="00042AD5" w:rsidRPr="00BD066F" w14:paraId="06CAAFFA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27559C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90C3835" w14:textId="17985EA1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1.065.448,00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4D530BA" w14:textId="43DC4052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1.401.640,00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1BB49DB" w14:textId="7CD999D7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1.434.540,00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90D1AD1" w14:textId="7068D05E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1.282.740,00</w:t>
            </w:r>
          </w:p>
        </w:tc>
      </w:tr>
      <w:tr w:rsidR="00042AD5" w:rsidRPr="00BD066F" w14:paraId="7067E591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BA9A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62EF" w14:textId="41FCE1D9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1.065.448,00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657B" w14:textId="09A5A8E3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1.401.640,00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06DB" w14:textId="4626FAE0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1.434.540,00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0468" w14:textId="44842AD8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1.282.740,00</w:t>
            </w:r>
          </w:p>
        </w:tc>
      </w:tr>
      <w:tr w:rsidR="00042AD5" w:rsidRPr="00BD066F" w14:paraId="612CCA92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DED912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C3A68DE" w14:textId="6697A54C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233.700,00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7D60AFB" w14:textId="7A22154F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376.800,00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96FFC41" w14:textId="3F27D512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259.800,00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82CFE84" w14:textId="5D9E51E4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259.800,00</w:t>
            </w:r>
          </w:p>
        </w:tc>
      </w:tr>
      <w:tr w:rsidR="00042AD5" w:rsidRPr="00BD066F" w14:paraId="5464DED5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1ADC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18E7" w14:textId="7E1BA412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233.700,00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2B7C" w14:textId="3BFCE556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376.800,00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1E85" w14:textId="2229C39C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259.800,00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B26E" w14:textId="5135A7CF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259.800,00</w:t>
            </w:r>
          </w:p>
        </w:tc>
      </w:tr>
      <w:tr w:rsidR="00042AD5" w:rsidRPr="00BD066F" w14:paraId="2F5D4F4E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C5660C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5. Pomoći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BE8BDF0" w14:textId="145B0ED7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331.143,00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ACB8963" w14:textId="663177E0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381.080,00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D6275B4" w14:textId="26F76FEE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661.080,00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54A52F5" w14:textId="7F66D76F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375.080,00</w:t>
            </w:r>
          </w:p>
        </w:tc>
      </w:tr>
      <w:tr w:rsidR="00042AD5" w:rsidRPr="00BD066F" w14:paraId="6D7CCF8D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60F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A54F" w14:textId="3171E8D7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325.143,00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8298" w14:textId="406E2FB3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373.080,00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D237" w14:textId="1252FC37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653.080,00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6F62" w14:textId="7367D18C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367.080,00</w:t>
            </w:r>
          </w:p>
        </w:tc>
      </w:tr>
      <w:tr w:rsidR="00042AD5" w:rsidRPr="00BD066F" w14:paraId="3E25F374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42F7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izravnavanja za decentralizirane funkcije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E98E" w14:textId="1E8CF5EF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AEAC" w14:textId="49F5C9C2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DE45" w14:textId="2BAD9B93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B21D" w14:textId="6CF665B7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042AD5" w:rsidRPr="00BD066F" w14:paraId="136ABD32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F978B7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D98DA94" w14:textId="1F9C84AB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C0607EE" w14:textId="7731C091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E6AF6B9" w14:textId="7F55F0A2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887F90F" w14:textId="5BA3316C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042AD5" w:rsidRPr="00BD066F" w14:paraId="66333706" w14:textId="77777777" w:rsidTr="00FF0E1E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EDAD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61 Donacije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B668" w14:textId="47F2180D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5BDF" w14:textId="409E3020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3FCD" w14:textId="5F030929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9F76" w14:textId="4AC5AE99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</w:tr>
      <w:tr w:rsidR="00042AD5" w:rsidRPr="00BD066F" w14:paraId="3302524B" w14:textId="77777777" w:rsidTr="00972EC4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D2D41E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420752B" w14:textId="4750231A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1.012.202,00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C3BA62C" w14:textId="17151BF9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192.300,00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762BEA0" w14:textId="5B230F0E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174.300,00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37D566" w14:textId="0510E4F7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159.300,00</w:t>
            </w:r>
          </w:p>
        </w:tc>
      </w:tr>
      <w:tr w:rsidR="00042AD5" w:rsidRPr="00BD066F" w14:paraId="544D63EF" w14:textId="77777777" w:rsidTr="00972EC4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CF7A" w14:textId="77777777" w:rsidR="00042AD5" w:rsidRPr="00BD066F" w:rsidRDefault="00042AD5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BD066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Prihodi od prodaje ili zamjene nefinancijske imovine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700E" w14:textId="60BFAEBD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1.012.202,00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C94A" w14:textId="0544452A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192.300,00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EDA1" w14:textId="2C31FD74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174.300,00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19D8" w14:textId="70DB4E4E" w:rsidR="00042AD5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159.300,00</w:t>
            </w:r>
          </w:p>
        </w:tc>
      </w:tr>
      <w:tr w:rsidR="00972EC4" w:rsidRPr="00BD066F" w14:paraId="07619A87" w14:textId="77777777" w:rsidTr="00972EC4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DFA837" w14:textId="0647168C" w:rsidR="00972EC4" w:rsidRPr="00972EC4" w:rsidRDefault="00972EC4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2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 Namjenski primici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452152" w14:textId="61987B9E" w:rsidR="00972EC4" w:rsidRPr="00972EC4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1C0A60" w14:textId="0EBE2EA1" w:rsidR="00972EC4" w:rsidRPr="00972EC4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C6D893" w14:textId="7341CBA8" w:rsidR="00972EC4" w:rsidRPr="00972EC4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6F2EC2" w14:textId="4D952F8E" w:rsidR="00972EC4" w:rsidRPr="00972EC4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972EC4" w:rsidRPr="00BD066F" w14:paraId="18E1F35E" w14:textId="77777777" w:rsidTr="00972EC4">
        <w:trPr>
          <w:trHeight w:val="26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81F7" w14:textId="34F6A5EE" w:rsidR="00972EC4" w:rsidRPr="00BD066F" w:rsidRDefault="00972EC4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 Namjenski primici od zaduživanja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A6F1" w14:textId="18C8717A" w:rsidR="00972EC4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2698" w14:textId="5A1D24EF" w:rsidR="00972EC4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7426" w14:textId="17328D50" w:rsidR="00972EC4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DB54" w14:textId="7EC96B50" w:rsidR="00972EC4" w:rsidRPr="00BD066F" w:rsidRDefault="00972EC4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4B442D66" w14:textId="118E84AA" w:rsidR="001A0447" w:rsidRDefault="001A0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03542" w14:textId="77777777" w:rsidR="00042AD5" w:rsidRDefault="000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733B1" w14:textId="77777777" w:rsidR="00042AD5" w:rsidRDefault="00000000" w:rsidP="00042A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 ZA ZAPOSLENE</w:t>
      </w:r>
    </w:p>
    <w:p w14:paraId="4A911924" w14:textId="6D0D706E" w:rsidR="001A0447" w:rsidRPr="00042AD5" w:rsidRDefault="00000000" w:rsidP="00042A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u 202</w:t>
      </w:r>
      <w:r w:rsidR="00972E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</w:t>
      </w:r>
      <w:r w:rsidR="00D01362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72EC4">
        <w:rPr>
          <w:rFonts w:ascii="Times New Roman" w:hAnsi="Times New Roman" w:cs="Times New Roman"/>
          <w:sz w:val="24"/>
          <w:szCs w:val="24"/>
        </w:rPr>
        <w:t>175.000,00</w:t>
      </w:r>
      <w:r>
        <w:rPr>
          <w:rFonts w:ascii="Times New Roman" w:hAnsi="Times New Roman" w:cs="Times New Roman"/>
          <w:sz w:val="24"/>
          <w:szCs w:val="24"/>
        </w:rPr>
        <w:t xml:space="preserve"> € te su </w:t>
      </w:r>
      <w:r w:rsidR="001A0447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od rashoda utvrđenih Proračunom za </w:t>
      </w:r>
      <w:r w:rsidR="00CB372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3CD83E26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8A0F4" w14:textId="4D837726" w:rsidR="00042AD5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MATERIJALNI RASHODI</w:t>
      </w:r>
    </w:p>
    <w:p w14:paraId="19F1879B" w14:textId="242FE446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planirani su u iznosu od </w:t>
      </w:r>
      <w:r w:rsidR="00972EC4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0</w:t>
      </w:r>
      <w:r w:rsidR="00972EC4">
        <w:rPr>
          <w:rFonts w:ascii="Times New Roman" w:hAnsi="Times New Roman" w:cs="Times New Roman"/>
          <w:sz w:val="24"/>
          <w:szCs w:val="24"/>
        </w:rPr>
        <w:t>.020,00</w:t>
      </w:r>
      <w:r>
        <w:rPr>
          <w:rFonts w:ascii="Times New Roman" w:hAnsi="Times New Roman" w:cs="Times New Roman"/>
          <w:sz w:val="24"/>
          <w:szCs w:val="24"/>
        </w:rPr>
        <w:t xml:space="preserve"> € a odnose se na naknade troškova zaposlenima, rashode za materijal i energiju, rashode za usluge i ostale nespomenute rashode poslovanja koji obuhvaćaju naknade za rad predstavničkih i izvršnih tijela, premije osiguranja, </w:t>
      </w:r>
      <w:r w:rsidRPr="00B22E14">
        <w:rPr>
          <w:rFonts w:ascii="Times New Roman" w:hAnsi="Times New Roman" w:cs="Times New Roman"/>
          <w:sz w:val="24"/>
          <w:szCs w:val="24"/>
        </w:rPr>
        <w:t>reprezentacij</w:t>
      </w:r>
      <w:r w:rsidR="00D01362" w:rsidRPr="00B22E14">
        <w:rPr>
          <w:rFonts w:ascii="Times New Roman" w:hAnsi="Times New Roman" w:cs="Times New Roman"/>
          <w:sz w:val="24"/>
          <w:szCs w:val="24"/>
        </w:rPr>
        <w:t>u</w:t>
      </w:r>
      <w:r w:rsidRPr="00B22E14">
        <w:rPr>
          <w:rFonts w:ascii="Times New Roman" w:hAnsi="Times New Roman" w:cs="Times New Roman"/>
          <w:sz w:val="24"/>
          <w:szCs w:val="24"/>
        </w:rPr>
        <w:t>, članarine, upravne, administrativne i sudske pristojbe i ostale slične rashode.</w:t>
      </w:r>
      <w:r w:rsidR="00D01362" w:rsidRPr="00B22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C10D6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EBF2E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FINANCIJSKI RASHODI</w:t>
      </w:r>
    </w:p>
    <w:p w14:paraId="40090E98" w14:textId="39D58A07" w:rsidR="00665D04" w:rsidRPr="00B22E1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14">
        <w:rPr>
          <w:rFonts w:ascii="Times New Roman" w:hAnsi="Times New Roman" w:cs="Times New Roman"/>
          <w:sz w:val="24"/>
          <w:szCs w:val="24"/>
        </w:rPr>
        <w:t xml:space="preserve">Financijski rashodi planirani su u visini od </w:t>
      </w:r>
      <w:r w:rsidR="00972EC4">
        <w:rPr>
          <w:rFonts w:ascii="Times New Roman" w:hAnsi="Times New Roman" w:cs="Times New Roman"/>
          <w:sz w:val="24"/>
          <w:szCs w:val="24"/>
        </w:rPr>
        <w:t>5.000,00</w:t>
      </w:r>
      <w:r w:rsidRPr="00B22E14">
        <w:rPr>
          <w:rFonts w:ascii="Times New Roman" w:hAnsi="Times New Roman" w:cs="Times New Roman"/>
          <w:sz w:val="24"/>
          <w:szCs w:val="24"/>
        </w:rPr>
        <w:t xml:space="preserve"> € </w:t>
      </w:r>
      <w:r w:rsidR="00972EC4">
        <w:rPr>
          <w:rFonts w:ascii="Times New Roman" w:hAnsi="Times New Roman" w:cs="Times New Roman"/>
          <w:sz w:val="24"/>
          <w:szCs w:val="24"/>
        </w:rPr>
        <w:t>a odnose se na</w:t>
      </w:r>
      <w:r w:rsidRPr="00B22E14">
        <w:rPr>
          <w:rFonts w:ascii="Times New Roman" w:hAnsi="Times New Roman" w:cs="Times New Roman"/>
          <w:sz w:val="24"/>
          <w:szCs w:val="24"/>
        </w:rPr>
        <w:t xml:space="preserve"> ostale financijske rashode</w:t>
      </w:r>
      <w:r w:rsidR="00972EC4">
        <w:rPr>
          <w:rFonts w:ascii="Times New Roman" w:hAnsi="Times New Roman" w:cs="Times New Roman"/>
          <w:sz w:val="24"/>
          <w:szCs w:val="24"/>
        </w:rPr>
        <w:t>.</w:t>
      </w:r>
    </w:p>
    <w:p w14:paraId="01E92B08" w14:textId="77777777" w:rsidR="00972EC4" w:rsidRDefault="0097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97135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POMOĆI DANE U INOZEMSTVO I UNUTAR OPĆEG PRORAČUNA </w:t>
      </w:r>
    </w:p>
    <w:p w14:paraId="3D70814C" w14:textId="34141F11" w:rsidR="0003558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Pomoćima danim unutar opće države odnosno proračunskim korisnicima drugih proračuna u iznosu od </w:t>
      </w:r>
      <w:r w:rsidR="00972EC4">
        <w:rPr>
          <w:rFonts w:ascii="Times New Roman" w:hAnsi="Times New Roman" w:cs="Times New Roman"/>
          <w:sz w:val="24"/>
          <w:szCs w:val="24"/>
        </w:rPr>
        <w:t>314.300,00</w:t>
      </w:r>
      <w:r>
        <w:rPr>
          <w:rFonts w:ascii="Times New Roman" w:hAnsi="Times New Roman" w:cs="Times New Roman"/>
          <w:sz w:val="24"/>
          <w:szCs w:val="24"/>
        </w:rPr>
        <w:t xml:space="preserve"> € sufinancira se rad Dječjeg vrtića </w:t>
      </w:r>
      <w:r w:rsidR="00972EC4">
        <w:rPr>
          <w:rFonts w:ascii="Times New Roman" w:hAnsi="Times New Roman" w:cs="Times New Roman"/>
          <w:sz w:val="24"/>
          <w:szCs w:val="24"/>
        </w:rPr>
        <w:t>Radost</w:t>
      </w:r>
      <w:r>
        <w:rPr>
          <w:rFonts w:ascii="Times New Roman" w:hAnsi="Times New Roman" w:cs="Times New Roman"/>
          <w:sz w:val="24"/>
          <w:szCs w:val="24"/>
        </w:rPr>
        <w:t xml:space="preserve">, područnog odjela u </w:t>
      </w:r>
      <w:r w:rsidR="006E6777">
        <w:rPr>
          <w:rFonts w:ascii="Times New Roman" w:hAnsi="Times New Roman" w:cs="Times New Roman"/>
          <w:sz w:val="24"/>
          <w:szCs w:val="24"/>
        </w:rPr>
        <w:t>Sv. Lovreč</w:t>
      </w:r>
      <w:r>
        <w:rPr>
          <w:rFonts w:ascii="Times New Roman" w:hAnsi="Times New Roman" w:cs="Times New Roman"/>
          <w:sz w:val="24"/>
          <w:szCs w:val="24"/>
        </w:rPr>
        <w:t xml:space="preserve">, Javne vatrogasne postrojbe – Centra za zaštitu od požara Poreč, </w:t>
      </w:r>
      <w:r w:rsidR="00D01362">
        <w:rPr>
          <w:rFonts w:ascii="Times New Roman" w:hAnsi="Times New Roman" w:cs="Times New Roman"/>
          <w:sz w:val="24"/>
          <w:szCs w:val="24"/>
        </w:rPr>
        <w:t>, Centra za pružanje usluga u zajednici – Zdravi grad Poreč</w:t>
      </w:r>
      <w:r w:rsidR="000355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Fonda za razvoj poljoprivrede i agroturizma Istre, </w:t>
      </w:r>
      <w:r w:rsidR="00035584">
        <w:rPr>
          <w:rFonts w:ascii="Times New Roman" w:hAnsi="Times New Roman" w:cs="Times New Roman"/>
          <w:sz w:val="24"/>
          <w:szCs w:val="24"/>
        </w:rPr>
        <w:t>sufinanciranje dijela kreditne obveze za rekonstrukciju Specijalne bolnice „Martin Horvat“ u Rovinju te sufinanciranje nadstandarda u području zdravstvenih usluga.</w:t>
      </w:r>
    </w:p>
    <w:p w14:paraId="1946B4D7" w14:textId="77777777" w:rsidR="00035584" w:rsidRDefault="0003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BB54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NAKNADE GRAĐANIMA I KUĆANSTVIMA NA TEMELJU OSIGURANJA I DRUGE NAKNADE</w:t>
      </w:r>
    </w:p>
    <w:p w14:paraId="327A5802" w14:textId="19DE33AB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naknade u 202</w:t>
      </w:r>
      <w:r w:rsidR="00972E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planirane su u visini od </w:t>
      </w:r>
      <w:r w:rsidR="00972EC4">
        <w:rPr>
          <w:rFonts w:ascii="Times New Roman" w:hAnsi="Times New Roman" w:cs="Times New Roman"/>
          <w:sz w:val="24"/>
          <w:szCs w:val="24"/>
        </w:rPr>
        <w:t>51.870,00</w:t>
      </w:r>
      <w:r>
        <w:rPr>
          <w:rFonts w:ascii="Times New Roman" w:hAnsi="Times New Roman" w:cs="Times New Roman"/>
          <w:sz w:val="24"/>
          <w:szCs w:val="24"/>
        </w:rPr>
        <w:t xml:space="preserve"> € i odnose se na namjene predviđene Socijalnim programom, za stipendije učenicima i studentima, </w:t>
      </w:r>
      <w:r w:rsidR="00972EC4">
        <w:rPr>
          <w:rFonts w:ascii="Times New Roman" w:hAnsi="Times New Roman" w:cs="Times New Roman"/>
          <w:sz w:val="24"/>
          <w:szCs w:val="24"/>
        </w:rPr>
        <w:t xml:space="preserve">školski udžbenici i pribor za osnovnoškolce, </w:t>
      </w:r>
      <w:r w:rsidR="008E5C4B">
        <w:rPr>
          <w:rFonts w:ascii="Times New Roman" w:hAnsi="Times New Roman" w:cs="Times New Roman"/>
          <w:sz w:val="24"/>
          <w:szCs w:val="24"/>
        </w:rPr>
        <w:t xml:space="preserve">sufinanciranje prijevoza </w:t>
      </w:r>
      <w:r>
        <w:rPr>
          <w:rFonts w:ascii="Times New Roman" w:hAnsi="Times New Roman" w:cs="Times New Roman"/>
          <w:sz w:val="24"/>
          <w:szCs w:val="24"/>
        </w:rPr>
        <w:t>te prigodne pomoći povodom božićnih i uskrsnih blagdana</w:t>
      </w:r>
      <w:r w:rsidR="008E5C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naknade za novorođ</w:t>
      </w:r>
      <w:r w:rsidR="008E5C4B">
        <w:rPr>
          <w:rFonts w:ascii="Times New Roman" w:hAnsi="Times New Roman" w:cs="Times New Roman"/>
          <w:sz w:val="24"/>
          <w:szCs w:val="24"/>
        </w:rPr>
        <w:t>ene.</w:t>
      </w:r>
    </w:p>
    <w:p w14:paraId="1A8F06BE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25B78" w14:textId="77777777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OSTALI RASHODI</w:t>
      </w:r>
    </w:p>
    <w:p w14:paraId="017C107F" w14:textId="03829823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planirani su u iznosu od </w:t>
      </w:r>
      <w:r w:rsidR="008E5C4B">
        <w:rPr>
          <w:rFonts w:ascii="Times New Roman" w:hAnsi="Times New Roman" w:cs="Times New Roman"/>
          <w:sz w:val="24"/>
          <w:szCs w:val="24"/>
        </w:rPr>
        <w:t>191.330,00</w:t>
      </w:r>
      <w:r>
        <w:rPr>
          <w:rFonts w:ascii="Times New Roman" w:hAnsi="Times New Roman" w:cs="Times New Roman"/>
          <w:sz w:val="24"/>
          <w:szCs w:val="24"/>
        </w:rPr>
        <w:t xml:space="preserve"> € a odnose se na </w:t>
      </w:r>
      <w:r w:rsidRPr="00AD4D00">
        <w:rPr>
          <w:rFonts w:ascii="Times New Roman" w:hAnsi="Times New Roman" w:cs="Times New Roman"/>
          <w:sz w:val="24"/>
          <w:szCs w:val="24"/>
        </w:rPr>
        <w:t>za proračunsku zalihu</w:t>
      </w:r>
      <w:r w:rsidR="008E5C4B">
        <w:rPr>
          <w:rFonts w:ascii="Times New Roman" w:hAnsi="Times New Roman" w:cs="Times New Roman"/>
          <w:sz w:val="24"/>
          <w:szCs w:val="24"/>
        </w:rPr>
        <w:t>,</w:t>
      </w:r>
      <w:r w:rsidRPr="00AD4D00">
        <w:rPr>
          <w:rFonts w:ascii="Times New Roman" w:hAnsi="Times New Roman" w:cs="Times New Roman"/>
          <w:sz w:val="24"/>
          <w:szCs w:val="24"/>
        </w:rPr>
        <w:t xml:space="preserve"> tekuće donacije od čega se najveći dio odnosi na potpore za programe javnih potreba koje se dodjeljuju udrugama po raspisanom javnom pozivu a koje će se raspodijeliti po pojedinim korisnicima sukladno provedenom javnom pozivu i donesenoj odluci o dodjeli financijskih sredstava. Isplata sredstava vršit će se na temelju ugovora i uvjeta koji će biti propisani prilikom objave javnog poziva. Ukoliko se po provedenom javnom pozivu dio</w:t>
      </w:r>
      <w:r>
        <w:rPr>
          <w:rFonts w:ascii="Times New Roman" w:hAnsi="Times New Roman" w:cs="Times New Roman"/>
          <w:sz w:val="24"/>
          <w:szCs w:val="24"/>
        </w:rPr>
        <w:t xml:space="preserve"> sredstava ne dodijeli udrugama, ista će im se moći dodijeliti izravnom dodjelom sukladno odredbama Pravilnika o financiranju programa i projekata od interesa za opće dobro iz Proračuna Općine </w:t>
      </w:r>
      <w:r w:rsidR="006E6777">
        <w:rPr>
          <w:rFonts w:ascii="Times New Roman" w:hAnsi="Times New Roman" w:cs="Times New Roman"/>
          <w:sz w:val="24"/>
          <w:szCs w:val="24"/>
        </w:rPr>
        <w:t>Sv. Lovreč</w:t>
      </w:r>
      <w:r>
        <w:rPr>
          <w:rFonts w:ascii="Times New Roman" w:hAnsi="Times New Roman" w:cs="Times New Roman"/>
          <w:sz w:val="24"/>
          <w:szCs w:val="24"/>
        </w:rPr>
        <w:t xml:space="preserve"> („Službeni glasnik Općine </w:t>
      </w:r>
      <w:r w:rsidR="006E6777">
        <w:rPr>
          <w:rFonts w:ascii="Times New Roman" w:hAnsi="Times New Roman" w:cs="Times New Roman"/>
          <w:sz w:val="24"/>
          <w:szCs w:val="24"/>
        </w:rPr>
        <w:t>Sv. Lovreč</w:t>
      </w:r>
      <w:r>
        <w:rPr>
          <w:rFonts w:ascii="Times New Roman" w:hAnsi="Times New Roman" w:cs="Times New Roman"/>
          <w:sz w:val="24"/>
          <w:szCs w:val="24"/>
        </w:rPr>
        <w:t>“, broj 8/15, 7/17 i 7/21).</w:t>
      </w:r>
    </w:p>
    <w:p w14:paraId="0F917C08" w14:textId="77777777" w:rsidR="00665D04" w:rsidRDefault="00665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F29B" w14:textId="77777777" w:rsidR="00665D04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 ZA NABAVU NEFINANCIJSKE IMOVINE</w:t>
      </w:r>
    </w:p>
    <w:p w14:paraId="251B1664" w14:textId="1E666375" w:rsidR="00665D0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00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8E5C4B">
        <w:rPr>
          <w:rFonts w:ascii="Times New Roman" w:hAnsi="Times New Roman" w:cs="Times New Roman"/>
          <w:sz w:val="24"/>
          <w:szCs w:val="24"/>
        </w:rPr>
        <w:t>1.011.300,00</w:t>
      </w:r>
      <w:r w:rsidRPr="00AD4D00">
        <w:rPr>
          <w:rFonts w:ascii="Times New Roman" w:hAnsi="Times New Roman" w:cs="Times New Roman"/>
          <w:sz w:val="24"/>
          <w:szCs w:val="24"/>
        </w:rPr>
        <w:t xml:space="preserve"> €. Rashodi za nabavu neproizvedene dugotrajne imovine planirani su u iznosu od </w:t>
      </w:r>
      <w:r w:rsidR="008E5C4B">
        <w:rPr>
          <w:rFonts w:ascii="Times New Roman" w:hAnsi="Times New Roman" w:cs="Times New Roman"/>
          <w:sz w:val="24"/>
          <w:szCs w:val="24"/>
        </w:rPr>
        <w:t>30.000,00</w:t>
      </w:r>
      <w:r w:rsidRPr="00AD4D00">
        <w:rPr>
          <w:rFonts w:ascii="Times New Roman" w:hAnsi="Times New Roman" w:cs="Times New Roman"/>
          <w:sz w:val="24"/>
          <w:szCs w:val="24"/>
        </w:rPr>
        <w:t xml:space="preserve"> € </w:t>
      </w:r>
      <w:r w:rsidR="008E5C4B">
        <w:rPr>
          <w:rFonts w:ascii="Times New Roman" w:hAnsi="Times New Roman" w:cs="Times New Roman"/>
          <w:sz w:val="24"/>
          <w:szCs w:val="24"/>
        </w:rPr>
        <w:t xml:space="preserve">a </w:t>
      </w:r>
      <w:r w:rsidRPr="00AD4D00">
        <w:rPr>
          <w:rFonts w:ascii="Times New Roman" w:hAnsi="Times New Roman" w:cs="Times New Roman"/>
          <w:sz w:val="24"/>
          <w:szCs w:val="24"/>
        </w:rPr>
        <w:t xml:space="preserve">odnosi </w:t>
      </w:r>
      <w:r w:rsidR="008E5C4B">
        <w:rPr>
          <w:rFonts w:ascii="Times New Roman" w:hAnsi="Times New Roman" w:cs="Times New Roman"/>
          <w:sz w:val="24"/>
          <w:szCs w:val="24"/>
        </w:rPr>
        <w:t xml:space="preserve">se </w:t>
      </w:r>
      <w:r w:rsidRPr="00AD4D00">
        <w:rPr>
          <w:rFonts w:ascii="Times New Roman" w:hAnsi="Times New Roman" w:cs="Times New Roman"/>
          <w:sz w:val="24"/>
          <w:szCs w:val="24"/>
        </w:rPr>
        <w:t xml:space="preserve">na materijalnu imovinu – zemljište Rashodi za nabavu proizvedene dugotrajne imovine planirani su u iznosu od </w:t>
      </w:r>
      <w:r w:rsidR="008E5C4B">
        <w:rPr>
          <w:rFonts w:ascii="Times New Roman" w:hAnsi="Times New Roman" w:cs="Times New Roman"/>
          <w:sz w:val="24"/>
          <w:szCs w:val="24"/>
        </w:rPr>
        <w:t>411.300,00</w:t>
      </w:r>
      <w:r w:rsidRPr="00AD4D00">
        <w:rPr>
          <w:rFonts w:ascii="Times New Roman" w:hAnsi="Times New Roman" w:cs="Times New Roman"/>
          <w:sz w:val="24"/>
          <w:szCs w:val="24"/>
        </w:rPr>
        <w:t xml:space="preserve"> €</w:t>
      </w:r>
      <w:r w:rsidR="008E5C4B">
        <w:rPr>
          <w:rFonts w:ascii="Times New Roman" w:hAnsi="Times New Roman" w:cs="Times New Roman"/>
          <w:sz w:val="24"/>
          <w:szCs w:val="24"/>
        </w:rPr>
        <w:t xml:space="preserve">, a odnose se na nabavu nove oprema za potrebe JUO, izgradnju i rekonstrukciju starogradske jezgre, proširenje groblja, izgradnju javne rasvjete. </w:t>
      </w:r>
      <w:r w:rsidRPr="00AD4D00">
        <w:rPr>
          <w:rFonts w:ascii="Times New Roman" w:hAnsi="Times New Roman" w:cs="Times New Roman"/>
          <w:sz w:val="24"/>
          <w:szCs w:val="24"/>
        </w:rPr>
        <w:t>Rashodi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 xml:space="preserve"> planirani su u visini od </w:t>
      </w:r>
      <w:r w:rsidR="008E5C4B">
        <w:rPr>
          <w:rFonts w:ascii="Times New Roman" w:hAnsi="Times New Roman" w:cs="Times New Roman"/>
          <w:sz w:val="24"/>
          <w:szCs w:val="24"/>
        </w:rPr>
        <w:t>570.000,00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="008E5C4B" w:rsidRPr="00AD4D00">
        <w:rPr>
          <w:rFonts w:ascii="Times New Roman" w:hAnsi="Times New Roman" w:cs="Times New Roman"/>
          <w:sz w:val="24"/>
          <w:szCs w:val="24"/>
        </w:rPr>
        <w:t>i to prvenstveno za ulaganja u izgradnju prometne infrastrukture</w:t>
      </w:r>
      <w:r w:rsidR="008E5C4B">
        <w:rPr>
          <w:rFonts w:ascii="Times New Roman" w:hAnsi="Times New Roman" w:cs="Times New Roman"/>
          <w:sz w:val="24"/>
          <w:szCs w:val="24"/>
        </w:rPr>
        <w:t>, obnovu škole u Krunćićima, obnovu krova općinske zgrade.</w:t>
      </w:r>
    </w:p>
    <w:p w14:paraId="1B36AFAE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2BE5C" w14:textId="77777777" w:rsidR="00665D04" w:rsidRDefault="0066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69706" w14:textId="076B046B" w:rsidR="00CB372F" w:rsidRPr="00CB372F" w:rsidRDefault="00CB372F" w:rsidP="00CB372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72F">
        <w:rPr>
          <w:rFonts w:ascii="Times New Roman" w:hAnsi="Times New Roman" w:cs="Times New Roman"/>
          <w:b/>
          <w:sz w:val="24"/>
          <w:szCs w:val="24"/>
        </w:rPr>
        <w:t>RAČUN FINANCIRANJA</w:t>
      </w:r>
    </w:p>
    <w:p w14:paraId="761CA894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C2915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Računu financiranja planirani su primici od zaduživanja u visini od 0,00 € dok su izdaci za financijsku imovinu i otplatu zajmova planirani u visini od 1.500,00 €. </w:t>
      </w:r>
    </w:p>
    <w:p w14:paraId="6A40D315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EBF45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5. Račun financiranja prema ekonomskoj klasifikaciji</w:t>
      </w:r>
    </w:p>
    <w:tbl>
      <w:tblPr>
        <w:tblW w:w="9057" w:type="dxa"/>
        <w:tblLook w:val="04A0" w:firstRow="1" w:lastRow="0" w:firstColumn="1" w:lastColumn="0" w:noHBand="0" w:noVBand="1"/>
      </w:tblPr>
      <w:tblGrid>
        <w:gridCol w:w="3109"/>
        <w:gridCol w:w="1480"/>
        <w:gridCol w:w="1480"/>
        <w:gridCol w:w="1494"/>
        <w:gridCol w:w="1494"/>
      </w:tblGrid>
      <w:tr w:rsidR="00CB372F" w:rsidRPr="00C00EE7" w14:paraId="058F3D18" w14:textId="77777777" w:rsidTr="00FF0E1E">
        <w:trPr>
          <w:trHeight w:val="540"/>
          <w:tblHeader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C9076" w14:textId="77777777" w:rsidR="00CB372F" w:rsidRPr="00C00EE7" w:rsidRDefault="00CB372F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RAČUNSKI PLAN / VRSTA PRIMITAKA/IZDATAKA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EC2E8" w14:textId="6F5465AD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2025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7EF10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PRORAČUN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AF5CF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B422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CB372F" w:rsidRPr="00C00EE7" w14:paraId="5E71190C" w14:textId="77777777" w:rsidTr="00FF0E1E">
        <w:trPr>
          <w:trHeight w:val="255"/>
          <w:tblHeader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72CC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BD4F9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3EA1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8F2A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0EA9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CB372F" w:rsidRPr="00C00EE7" w14:paraId="69532C09" w14:textId="77777777" w:rsidTr="00FF0E1E">
        <w:trPr>
          <w:trHeight w:val="26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DACF48" w14:textId="77777777" w:rsidR="00CB372F" w:rsidRPr="00C00EE7" w:rsidRDefault="00CB372F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UKUPNO IZDACI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6C4EC28A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248A099E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5E9FB203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2F7CFF19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</w:tr>
      <w:tr w:rsidR="00CB372F" w:rsidRPr="00C00EE7" w14:paraId="5A10818C" w14:textId="77777777" w:rsidTr="00FF0E1E">
        <w:trPr>
          <w:trHeight w:val="26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CD39D3" w14:textId="77777777" w:rsidR="00CB372F" w:rsidRPr="00CB372F" w:rsidRDefault="00CB372F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3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A302459" w14:textId="77777777" w:rsidR="00CB372F" w:rsidRPr="00CB372F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3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3EF5C3A" w14:textId="77777777" w:rsidR="00CB372F" w:rsidRPr="00CB372F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3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0B1D425" w14:textId="77777777" w:rsidR="00CB372F" w:rsidRPr="00CB372F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3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1245653" w14:textId="77777777" w:rsidR="00CB372F" w:rsidRPr="00CB372F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3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CB372F" w:rsidRPr="00C00EE7" w14:paraId="1BEC22C5" w14:textId="77777777" w:rsidTr="00FF0E1E">
        <w:trPr>
          <w:trHeight w:val="26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811" w14:textId="77777777" w:rsidR="00CB372F" w:rsidRPr="00C00EE7" w:rsidRDefault="00CB372F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 Izdaci za dionice i udjele u glavnici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46B5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621F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2D54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E932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</w:tbl>
    <w:p w14:paraId="4CFE9FEE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A486C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7. Račun financiranja prema izvorima financiranja</w:t>
      </w:r>
    </w:p>
    <w:tbl>
      <w:tblPr>
        <w:tblW w:w="9057" w:type="dxa"/>
        <w:tblLook w:val="04A0" w:firstRow="1" w:lastRow="0" w:firstColumn="1" w:lastColumn="0" w:noHBand="0" w:noVBand="1"/>
      </w:tblPr>
      <w:tblGrid>
        <w:gridCol w:w="3109"/>
        <w:gridCol w:w="1480"/>
        <w:gridCol w:w="1480"/>
        <w:gridCol w:w="1494"/>
        <w:gridCol w:w="1494"/>
      </w:tblGrid>
      <w:tr w:rsidR="00CB372F" w:rsidRPr="00C00EE7" w14:paraId="713AD127" w14:textId="77777777" w:rsidTr="00FF0E1E">
        <w:trPr>
          <w:trHeight w:val="54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944B4" w14:textId="77777777" w:rsidR="00CB372F" w:rsidRPr="00C00EE7" w:rsidRDefault="00CB372F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RAČUNSKI PLAN / VRSTA IZVORA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D95B1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47B25" w14:textId="50779E70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PRORAČUN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2025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51E18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2025.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6EE2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PROJEKCIJA</w:t>
            </w: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ZA 2026.</w:t>
            </w:r>
          </w:p>
        </w:tc>
      </w:tr>
      <w:tr w:rsidR="00CB372F" w:rsidRPr="00C00EE7" w14:paraId="4FA3D4BF" w14:textId="77777777" w:rsidTr="00FF0E1E">
        <w:trPr>
          <w:trHeight w:val="255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CB70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774B6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28AF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8EC1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476D" w14:textId="77777777" w:rsidR="00CB372F" w:rsidRPr="00C00EE7" w:rsidRDefault="00CB372F" w:rsidP="00FF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CB372F" w:rsidRPr="00C00EE7" w14:paraId="34BBEF7E" w14:textId="77777777" w:rsidTr="00FF0E1E">
        <w:trPr>
          <w:trHeight w:val="26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258D69" w14:textId="77777777" w:rsidR="00CB372F" w:rsidRPr="00C00EE7" w:rsidRDefault="00CB372F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UKUPNO IZDACI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4AAECFCF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2F6709CC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1EEFA988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6B4798C0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</w:tr>
      <w:tr w:rsidR="00CB372F" w:rsidRPr="00C00EE7" w14:paraId="3670BD27" w14:textId="77777777" w:rsidTr="00FF0E1E">
        <w:trPr>
          <w:trHeight w:val="26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DF846D" w14:textId="77777777" w:rsidR="00CB372F" w:rsidRPr="00C00EE7" w:rsidRDefault="00CB372F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0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1E8004C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C602E03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0D21116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5E67DB1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CB372F" w:rsidRPr="00C00EE7" w14:paraId="6302B3EB" w14:textId="77777777" w:rsidTr="00FF0E1E">
        <w:trPr>
          <w:trHeight w:val="26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5072" w14:textId="77777777" w:rsidR="00CB372F" w:rsidRPr="00C00EE7" w:rsidRDefault="00CB372F" w:rsidP="00FF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 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DFA2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28DC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660C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CA61" w14:textId="77777777" w:rsidR="00CB372F" w:rsidRPr="00C00EE7" w:rsidRDefault="00CB372F" w:rsidP="00FF0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</w:tbl>
    <w:p w14:paraId="20658FB3" w14:textId="77777777" w:rsidR="00CB372F" w:rsidRDefault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F4BF" w14:textId="77777777" w:rsidR="00CB372F" w:rsidRDefault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0102F" w14:textId="77777777" w:rsidR="00CB372F" w:rsidRDefault="00CB372F" w:rsidP="00CB372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PRENESENI VIŠAK / MANJAK </w:t>
      </w:r>
    </w:p>
    <w:p w14:paraId="4469E23F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95870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Raspoloživim sredstvima iz prethodnih godina iskazan je planirani višak prihoda u visini od 108.300,00 €.</w:t>
      </w:r>
    </w:p>
    <w:p w14:paraId="0D7B979D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29A74" w14:textId="77777777" w:rsidR="00CB372F" w:rsidRDefault="00CB372F" w:rsidP="00CB3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C1ED9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POSEBNI DIO</w:t>
      </w:r>
    </w:p>
    <w:p w14:paraId="2EC821FB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C6809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sadrži rashode i izdatke po organizacijskoj klasifikaciji, izvorima financiranja i ekonomskoj klasifikaciji, raspoređenih u programe koji se sastoje od aktivnosti i projekata.</w:t>
      </w:r>
    </w:p>
    <w:p w14:paraId="12BFF08C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E514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Organizacijskom klasifikacijom prikazan je raspored sredstava planiranih Proračunom po razdjelima. Sukladno članku 6. Pravilnika o proračunskim klasifikacijama („Narodne novine“, broj 26/10, </w:t>
      </w:r>
      <w:r>
        <w:rPr>
          <w:rFonts w:ascii="Times New Roman" w:hAnsi="Times New Roman" w:cs="Times New Roman"/>
          <w:bCs/>
          <w:sz w:val="24"/>
          <w:szCs w:val="24"/>
        </w:rPr>
        <w:t xml:space="preserve">120/13 i 1/20) </w:t>
      </w:r>
      <w:r>
        <w:rPr>
          <w:rFonts w:ascii="Times New Roman" w:hAnsi="Times New Roman" w:cs="Times New Roman"/>
          <w:sz w:val="24"/>
          <w:szCs w:val="24"/>
        </w:rPr>
        <w:t xml:space="preserve">razdjel je organizacijska razina utvrđena za potrebe planiranja i izvršavanja proračuna, a sastoji se od jedne ili više glava te je nadalje propisano da one jedinice </w:t>
      </w:r>
      <w:r>
        <w:rPr>
          <w:rFonts w:ascii="Times New Roman" w:hAnsi="Times New Roman" w:cs="Times New Roman"/>
          <w:sz w:val="24"/>
          <w:szCs w:val="24"/>
        </w:rPr>
        <w:lastRenderedPageBreak/>
        <w:t>lokalne i područne (regionalne) samouprave čije glave nemaju proračunske korisnike, glava je istovjetna razdjelu.</w:t>
      </w:r>
    </w:p>
    <w:p w14:paraId="74100F46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6D68F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Programska klasifikacija sadrži rashode i izdatke iskazane kroz aktivnosti i projekte, koji su povezani u programe temeljem zajedničkih ciljeva.</w:t>
      </w:r>
    </w:p>
    <w:p w14:paraId="1801F59B" w14:textId="77777777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03FE" w14:textId="77777777" w:rsidR="00CB372F" w:rsidRDefault="00CB372F" w:rsidP="00CB372F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financiranju jedinica lokalne i područne (regionalne) samouprave(„Narodne novine“, broj 127/17, 138/20, 151/22 i 114/23)</w:t>
      </w:r>
    </w:p>
    <w:p w14:paraId="65FDE217" w14:textId="77777777" w:rsidR="00CB372F" w:rsidRDefault="00CB372F" w:rsidP="00CB372F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plaćama u lokalnoj i područnoj (regionalnoj) samoupravi („Narodne novine“,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28/10 i 10/23)</w:t>
      </w:r>
    </w:p>
    <w:p w14:paraId="57D77CBF" w14:textId="77777777" w:rsidR="00CB372F" w:rsidRDefault="00CB372F" w:rsidP="00CB372F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porezu na dohodak („Narodne novine“, broj 115/16, 106/18, 121/19, 32/20 i 138/20, 151/22 i 114/23)</w:t>
      </w:r>
    </w:p>
    <w:p w14:paraId="00D996EA" w14:textId="77777777" w:rsidR="00CB372F" w:rsidRDefault="00CB372F" w:rsidP="00CB372F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proračunskom računovodstvu i računskom planu („Narodne novine“, broj 124/14, 115/15, 87/16, 3/18, 126/19 i 108/20)</w:t>
      </w:r>
    </w:p>
    <w:p w14:paraId="367F3539" w14:textId="77777777" w:rsidR="00CB372F" w:rsidRDefault="00CB372F" w:rsidP="00CB372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drugi zakonski i podzakonski akti iz područja rada.</w:t>
      </w:r>
    </w:p>
    <w:p w14:paraId="4929979C" w14:textId="77777777" w:rsidR="00CB372F" w:rsidRDefault="00CB372F" w:rsidP="00CB372F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5136" w14:textId="3E2DEA6D" w:rsidR="00CB372F" w:rsidRDefault="00CB372F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Programima javnih potreba Općine Sv. Lovreč za 2025., detaljno su objašnjeni planirani rashodi po pojedinim tekućim projektima, aktivnostima i kapitalnim projektima. Programe javnih potreba Općine Sv. Lovreč za 2025. godinu čine:</w:t>
      </w:r>
    </w:p>
    <w:p w14:paraId="321A3DDD" w14:textId="53D61C97" w:rsidR="00CB372F" w:rsidRDefault="00CB372F" w:rsidP="00CB372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održavanja komunalne infrastrukture na području Općine Sv. Lovreč za 2025. godinu,</w:t>
      </w:r>
    </w:p>
    <w:p w14:paraId="33C4186F" w14:textId="060B5F89" w:rsidR="00CB372F" w:rsidRDefault="00CB372F" w:rsidP="00CB372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građenja objekata i uređaja komunalne infrastrukture na području Općine Sv. Lovreč za 2025. godinu,</w:t>
      </w:r>
    </w:p>
    <w:p w14:paraId="04EA294D" w14:textId="6C039126" w:rsidR="00CB372F" w:rsidRDefault="00CB372F" w:rsidP="00CB372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gradnje ostalih komunalnih i gospodarstvenih potreba na području Općine Sv. Lovreč za 2025. godinu,</w:t>
      </w:r>
    </w:p>
    <w:p w14:paraId="263F33AF" w14:textId="5482BF7A" w:rsidR="00CB372F" w:rsidRDefault="00CB372F" w:rsidP="00CB372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javnih potreba u obrazovanju na području Općine Sv. Lovreč za 2025. godinu,</w:t>
      </w:r>
    </w:p>
    <w:p w14:paraId="61AE89B4" w14:textId="77A0617C" w:rsidR="00CB372F" w:rsidRDefault="00CB372F" w:rsidP="00CB372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javnih potreba u socijalnoj skrbi i zdravstvu na području Općine Sv. Lovreč za 2025. godinu,</w:t>
      </w:r>
    </w:p>
    <w:p w14:paraId="7FE5A304" w14:textId="58DD96EE" w:rsidR="00CB372F" w:rsidRDefault="00CB372F" w:rsidP="00CB372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javnih potreba u predškolskom odgoju i obrazovanju na području Općine Sv. Lovreč za 2025. godinu,</w:t>
      </w:r>
    </w:p>
    <w:p w14:paraId="27ABCE7C" w14:textId="78DDA090" w:rsidR="00CB372F" w:rsidRDefault="00CB372F" w:rsidP="00CB372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javnih potreba u kulturi na području Općine Sv. Lovreč za 2025. godinu,</w:t>
      </w:r>
    </w:p>
    <w:p w14:paraId="6A1BF491" w14:textId="6912B86F" w:rsidR="00CB372F" w:rsidRPr="00CB372F" w:rsidRDefault="00CB372F" w:rsidP="00CB372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B372F" w:rsidRPr="00CB372F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Program javnih potreba u sportu na području Općine Sv. Lovreč za 2025. godinu.</w:t>
      </w:r>
    </w:p>
    <w:p w14:paraId="6E1E06B4" w14:textId="77777777" w:rsidR="00CA3FCA" w:rsidRPr="00CB372F" w:rsidRDefault="00CA3FCA" w:rsidP="00C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FCA" w:rsidRPr="00CB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C909" w14:textId="77777777" w:rsidR="00425759" w:rsidRDefault="00425759">
      <w:pPr>
        <w:spacing w:after="0" w:line="240" w:lineRule="auto"/>
      </w:pPr>
      <w:r>
        <w:separator/>
      </w:r>
    </w:p>
  </w:endnote>
  <w:endnote w:type="continuationSeparator" w:id="0">
    <w:p w14:paraId="67A61B87" w14:textId="77777777" w:rsidR="00425759" w:rsidRDefault="0042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7FB2D" w14:textId="77777777" w:rsidR="00425759" w:rsidRDefault="00425759">
      <w:pPr>
        <w:spacing w:after="0" w:line="240" w:lineRule="auto"/>
      </w:pPr>
      <w:r>
        <w:separator/>
      </w:r>
    </w:p>
  </w:footnote>
  <w:footnote w:type="continuationSeparator" w:id="0">
    <w:p w14:paraId="704C9DF1" w14:textId="77777777" w:rsidR="00425759" w:rsidRDefault="0042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BB4D" w14:textId="77777777" w:rsidR="00665D04" w:rsidRDefault="00000000">
    <w:pPr>
      <w:pStyle w:val="Zaglavlje"/>
      <w:tabs>
        <w:tab w:val="clear" w:pos="4536"/>
        <w:tab w:val="clear" w:pos="9072"/>
        <w:tab w:val="left" w:pos="21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181D"/>
    <w:multiLevelType w:val="hybridMultilevel"/>
    <w:tmpl w:val="7D989124"/>
    <w:lvl w:ilvl="0" w:tplc="15F4B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661"/>
    <w:multiLevelType w:val="hybridMultilevel"/>
    <w:tmpl w:val="B9A22800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0349"/>
    <w:multiLevelType w:val="hybridMultilevel"/>
    <w:tmpl w:val="7D92DED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1F0A"/>
    <w:multiLevelType w:val="hybridMultilevel"/>
    <w:tmpl w:val="AF001CEC"/>
    <w:lvl w:ilvl="0" w:tplc="3C82A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CD9"/>
    <w:multiLevelType w:val="hybridMultilevel"/>
    <w:tmpl w:val="D2744AA6"/>
    <w:lvl w:ilvl="0" w:tplc="31E444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C7806"/>
    <w:multiLevelType w:val="multilevel"/>
    <w:tmpl w:val="041A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811AF0"/>
    <w:multiLevelType w:val="hybridMultilevel"/>
    <w:tmpl w:val="30E054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7E63"/>
    <w:multiLevelType w:val="hybridMultilevel"/>
    <w:tmpl w:val="F0D262D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B5A76"/>
    <w:multiLevelType w:val="hybridMultilevel"/>
    <w:tmpl w:val="42ECBF34"/>
    <w:lvl w:ilvl="0" w:tplc="529827E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F589E"/>
    <w:multiLevelType w:val="hybridMultilevel"/>
    <w:tmpl w:val="BF5A7134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621BE"/>
    <w:multiLevelType w:val="hybridMultilevel"/>
    <w:tmpl w:val="6E623F70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25F8E"/>
    <w:multiLevelType w:val="hybridMultilevel"/>
    <w:tmpl w:val="035AE8D4"/>
    <w:lvl w:ilvl="0" w:tplc="529827E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05C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463592"/>
    <w:multiLevelType w:val="hybridMultilevel"/>
    <w:tmpl w:val="D8BA0DDE"/>
    <w:lvl w:ilvl="0" w:tplc="B70244EE">
      <w:start w:val="2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790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81F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AD03CF"/>
    <w:multiLevelType w:val="hybridMultilevel"/>
    <w:tmpl w:val="8D1833A8"/>
    <w:lvl w:ilvl="0" w:tplc="E70C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B43AF"/>
    <w:multiLevelType w:val="hybridMultilevel"/>
    <w:tmpl w:val="AEBCF578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742FB"/>
    <w:multiLevelType w:val="hybridMultilevel"/>
    <w:tmpl w:val="7A84983A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3E5A8B"/>
    <w:multiLevelType w:val="hybridMultilevel"/>
    <w:tmpl w:val="068C9750"/>
    <w:lvl w:ilvl="0" w:tplc="E488CC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B02B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C231C2"/>
    <w:multiLevelType w:val="hybridMultilevel"/>
    <w:tmpl w:val="425E613A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D4030"/>
    <w:multiLevelType w:val="multilevel"/>
    <w:tmpl w:val="041A001F"/>
    <w:numStyleLink w:val="Stil1"/>
  </w:abstractNum>
  <w:abstractNum w:abstractNumId="23" w15:restartNumberingAfterBreak="0">
    <w:nsid w:val="5910732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EB3D08"/>
    <w:multiLevelType w:val="hybridMultilevel"/>
    <w:tmpl w:val="4A761620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4712E"/>
    <w:multiLevelType w:val="hybridMultilevel"/>
    <w:tmpl w:val="0E5E9E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D629CD"/>
    <w:multiLevelType w:val="hybridMultilevel"/>
    <w:tmpl w:val="26D65660"/>
    <w:lvl w:ilvl="0" w:tplc="529827E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4FE"/>
    <w:multiLevelType w:val="hybridMultilevel"/>
    <w:tmpl w:val="612A1A5C"/>
    <w:lvl w:ilvl="0" w:tplc="7B200C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97DAA"/>
    <w:multiLevelType w:val="hybridMultilevel"/>
    <w:tmpl w:val="4F526ACA"/>
    <w:lvl w:ilvl="0" w:tplc="529827E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83551"/>
    <w:multiLevelType w:val="hybridMultilevel"/>
    <w:tmpl w:val="2CBA4878"/>
    <w:lvl w:ilvl="0" w:tplc="3DEAB9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B6ABF"/>
    <w:multiLevelType w:val="hybridMultilevel"/>
    <w:tmpl w:val="01545AE8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D32B2"/>
    <w:multiLevelType w:val="hybridMultilevel"/>
    <w:tmpl w:val="0E16C862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337C2"/>
    <w:multiLevelType w:val="hybridMultilevel"/>
    <w:tmpl w:val="CEFAF934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942A9"/>
    <w:multiLevelType w:val="hybridMultilevel"/>
    <w:tmpl w:val="2C5C43B0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94AD8"/>
    <w:multiLevelType w:val="hybridMultilevel"/>
    <w:tmpl w:val="E98AE610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35176"/>
    <w:multiLevelType w:val="hybridMultilevel"/>
    <w:tmpl w:val="C4E88244"/>
    <w:lvl w:ilvl="0" w:tplc="5E7C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54517">
    <w:abstractNumId w:val="27"/>
  </w:num>
  <w:num w:numId="2" w16cid:durableId="1279222377">
    <w:abstractNumId w:val="26"/>
  </w:num>
  <w:num w:numId="3" w16cid:durableId="367143958">
    <w:abstractNumId w:val="28"/>
  </w:num>
  <w:num w:numId="4" w16cid:durableId="648479137">
    <w:abstractNumId w:val="11"/>
  </w:num>
  <w:num w:numId="5" w16cid:durableId="474447533">
    <w:abstractNumId w:val="6"/>
  </w:num>
  <w:num w:numId="6" w16cid:durableId="1646199655">
    <w:abstractNumId w:val="18"/>
  </w:num>
  <w:num w:numId="7" w16cid:durableId="368653132">
    <w:abstractNumId w:val="23"/>
  </w:num>
  <w:num w:numId="8" w16cid:durableId="1471093981">
    <w:abstractNumId w:val="12"/>
  </w:num>
  <w:num w:numId="9" w16cid:durableId="967978541">
    <w:abstractNumId w:val="15"/>
  </w:num>
  <w:num w:numId="10" w16cid:durableId="157968154">
    <w:abstractNumId w:val="5"/>
  </w:num>
  <w:num w:numId="11" w16cid:durableId="272367871">
    <w:abstractNumId w:val="22"/>
  </w:num>
  <w:num w:numId="12" w16cid:durableId="2047097184">
    <w:abstractNumId w:val="7"/>
  </w:num>
  <w:num w:numId="13" w16cid:durableId="567612279">
    <w:abstractNumId w:val="16"/>
  </w:num>
  <w:num w:numId="14" w16cid:durableId="532152892">
    <w:abstractNumId w:val="4"/>
  </w:num>
  <w:num w:numId="15" w16cid:durableId="1773865161">
    <w:abstractNumId w:val="14"/>
  </w:num>
  <w:num w:numId="16" w16cid:durableId="70931533">
    <w:abstractNumId w:val="8"/>
  </w:num>
  <w:num w:numId="17" w16cid:durableId="1181969359">
    <w:abstractNumId w:val="2"/>
  </w:num>
  <w:num w:numId="18" w16cid:durableId="706298463">
    <w:abstractNumId w:val="25"/>
  </w:num>
  <w:num w:numId="19" w16cid:durableId="1461268827">
    <w:abstractNumId w:val="10"/>
  </w:num>
  <w:num w:numId="20" w16cid:durableId="1352148025">
    <w:abstractNumId w:val="1"/>
  </w:num>
  <w:num w:numId="21" w16cid:durableId="552035402">
    <w:abstractNumId w:val="32"/>
  </w:num>
  <w:num w:numId="22" w16cid:durableId="853804863">
    <w:abstractNumId w:val="0"/>
  </w:num>
  <w:num w:numId="23" w16cid:durableId="1325012551">
    <w:abstractNumId w:val="34"/>
  </w:num>
  <w:num w:numId="24" w16cid:durableId="1643386198">
    <w:abstractNumId w:val="30"/>
  </w:num>
  <w:num w:numId="25" w16cid:durableId="1780637135">
    <w:abstractNumId w:val="13"/>
  </w:num>
  <w:num w:numId="26" w16cid:durableId="542712410">
    <w:abstractNumId w:val="24"/>
  </w:num>
  <w:num w:numId="27" w16cid:durableId="1399980919">
    <w:abstractNumId w:val="21"/>
  </w:num>
  <w:num w:numId="28" w16cid:durableId="895822246">
    <w:abstractNumId w:val="35"/>
  </w:num>
  <w:num w:numId="29" w16cid:durableId="1883050935">
    <w:abstractNumId w:val="9"/>
  </w:num>
  <w:num w:numId="30" w16cid:durableId="570314661">
    <w:abstractNumId w:val="31"/>
  </w:num>
  <w:num w:numId="31" w16cid:durableId="264506096">
    <w:abstractNumId w:val="33"/>
  </w:num>
  <w:num w:numId="32" w16cid:durableId="424613852">
    <w:abstractNumId w:val="17"/>
  </w:num>
  <w:num w:numId="33" w16cid:durableId="1918053571">
    <w:abstractNumId w:val="3"/>
  </w:num>
  <w:num w:numId="34" w16cid:durableId="725689770">
    <w:abstractNumId w:val="14"/>
  </w:num>
  <w:num w:numId="35" w16cid:durableId="1475485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5959352">
    <w:abstractNumId w:val="20"/>
  </w:num>
  <w:num w:numId="37" w16cid:durableId="1946037693">
    <w:abstractNumId w:val="19"/>
  </w:num>
  <w:num w:numId="38" w16cid:durableId="2827315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9015676">
    <w:abstractNumId w:val="8"/>
  </w:num>
  <w:num w:numId="40" w16cid:durableId="4516307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12675103">
    <w:abstractNumId w:val="10"/>
  </w:num>
  <w:num w:numId="42" w16cid:durableId="2054453954">
    <w:abstractNumId w:val="1"/>
  </w:num>
  <w:num w:numId="43" w16cid:durableId="1807887759">
    <w:abstractNumId w:val="34"/>
  </w:num>
  <w:num w:numId="44" w16cid:durableId="145844745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844192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04"/>
    <w:rsid w:val="00013270"/>
    <w:rsid w:val="00035584"/>
    <w:rsid w:val="000428AC"/>
    <w:rsid w:val="00042AD5"/>
    <w:rsid w:val="00073CC6"/>
    <w:rsid w:val="00084812"/>
    <w:rsid w:val="000C6032"/>
    <w:rsid w:val="00190FD6"/>
    <w:rsid w:val="001A0447"/>
    <w:rsid w:val="00425759"/>
    <w:rsid w:val="00450CCA"/>
    <w:rsid w:val="005979D0"/>
    <w:rsid w:val="005A6596"/>
    <w:rsid w:val="00665D04"/>
    <w:rsid w:val="00693DFF"/>
    <w:rsid w:val="006D4BC6"/>
    <w:rsid w:val="006E1E35"/>
    <w:rsid w:val="006E6777"/>
    <w:rsid w:val="00742DFF"/>
    <w:rsid w:val="00845D16"/>
    <w:rsid w:val="00855075"/>
    <w:rsid w:val="008E5C4B"/>
    <w:rsid w:val="008E742B"/>
    <w:rsid w:val="00972EC4"/>
    <w:rsid w:val="009B2F8C"/>
    <w:rsid w:val="009D7D96"/>
    <w:rsid w:val="00A37E9E"/>
    <w:rsid w:val="00AD4D00"/>
    <w:rsid w:val="00B22E14"/>
    <w:rsid w:val="00B8467F"/>
    <w:rsid w:val="00BD066F"/>
    <w:rsid w:val="00C00EE7"/>
    <w:rsid w:val="00CA3FCA"/>
    <w:rsid w:val="00CB372F"/>
    <w:rsid w:val="00D01362"/>
    <w:rsid w:val="00D43875"/>
    <w:rsid w:val="00D8449B"/>
    <w:rsid w:val="00DA2139"/>
    <w:rsid w:val="00DC6076"/>
    <w:rsid w:val="00DE5F52"/>
    <w:rsid w:val="00EC4A21"/>
    <w:rsid w:val="00F2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B3AC"/>
  <w15:chartTrackingRefBased/>
  <w15:docId w15:val="{13AEE55A-3D4B-4F6F-9C9D-46B15841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numbering" w:customStyle="1" w:styleId="Stil1">
    <w:name w:val="Stil1"/>
    <w:uiPriority w:val="99"/>
    <w:pPr>
      <w:numPr>
        <w:numId w:val="10"/>
      </w:numPr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kurziv">
    <w:name w:val="kurziv"/>
  </w:style>
  <w:style w:type="paragraph" w:customStyle="1" w:styleId="box458203">
    <w:name w:val="box_45820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77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091F-0748-4FEA-8EC9-9D7A584B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2575</Words>
  <Characters>14682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Pilat</dc:creator>
  <cp:keywords/>
  <dc:description/>
  <cp:lastModifiedBy>Pročelnik</cp:lastModifiedBy>
  <cp:revision>2</cp:revision>
  <cp:lastPrinted>2019-12-14T12:25:00Z</cp:lastPrinted>
  <dcterms:created xsi:type="dcterms:W3CDTF">2024-12-16T16:05:00Z</dcterms:created>
  <dcterms:modified xsi:type="dcterms:W3CDTF">2024-12-16T16:05:00Z</dcterms:modified>
</cp:coreProperties>
</file>